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2F5D6">
      <w:pPr>
        <w:pStyle w:val="108"/>
        <w:framePr w:wrap="around"/>
        <w:rPr>
          <w:rFonts w:ascii="Times New Roman"/>
        </w:rPr>
      </w:pPr>
      <w:bookmarkStart w:id="105" w:name="_GoBack"/>
      <w:bookmarkEnd w:id="105"/>
      <w:r>
        <w:rPr>
          <w:rFonts w:ascii="Times New Roman"/>
        </w:rPr>
        <w:t xml:space="preserve">ICS </w:t>
      </w:r>
    </w:p>
    <w:p w14:paraId="420A5952">
      <w:pPr>
        <w:pStyle w:val="108"/>
        <w:framePr w:wrap="around"/>
        <w:rPr>
          <w:rFonts w:ascii="Times New Roman"/>
        </w:rPr>
      </w:pPr>
      <w:r>
        <w:rPr>
          <w:rFonts w:ascii="Times New Roman"/>
        </w:rPr>
        <w:t xml:space="preserve">CCS </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4"/>
      </w:tblGrid>
      <w:tr w14:paraId="6F32C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4" w:type="dxa"/>
            <w:tcBorders>
              <w:top w:val="nil"/>
              <w:left w:val="nil"/>
              <w:bottom w:val="nil"/>
              <w:right w:val="nil"/>
            </w:tcBorders>
          </w:tcPr>
          <w:p w14:paraId="222CD632">
            <w:pPr>
              <w:pStyle w:val="108"/>
              <w:framePr w:wrap="around"/>
              <w:rPr>
                <w:rFonts w:ascii="Times New Roman"/>
              </w:rPr>
            </w:pPr>
          </w:p>
        </w:tc>
      </w:tr>
    </w:tbl>
    <w:p w14:paraId="4AD741F2">
      <w:pPr>
        <w:pStyle w:val="109"/>
        <w:framePr w:wrap="around" w:x="4680" w:y="961"/>
        <w:rPr>
          <w:color w:val="000000" w:themeColor="text1"/>
        </w:rPr>
      </w:pPr>
      <w:r>
        <w:rPr>
          <w:color w:val="000000" w:themeColor="text1"/>
        </w:rPr>
        <w:t>DB54</w:t>
      </w:r>
    </w:p>
    <w:p w14:paraId="52CEE25B">
      <w:pPr>
        <w:pStyle w:val="111"/>
        <w:framePr w:wrap="around" w:x="1545"/>
        <w:rPr>
          <w:rFonts w:ascii="Times New Roman" w:hAnsi="Times New Roman"/>
          <w:color w:val="000000" w:themeColor="text1"/>
        </w:rPr>
      </w:pPr>
      <w:r>
        <w:rPr>
          <w:rFonts w:ascii="Times New Roman" w:hAnsi="Times New Roman"/>
          <w:color w:val="000000" w:themeColor="text1"/>
        </w:rPr>
        <w:t>西藏自治区地方标准</w:t>
      </w:r>
    </w:p>
    <w:p w14:paraId="44920143">
      <w:pPr>
        <w:pStyle w:val="112"/>
        <w:framePr w:wrap="around" w:x="1292" w:y="2896"/>
        <w:spacing w:line="40" w:lineRule="exact"/>
        <w:rPr>
          <w:rFonts w:ascii="Times New Roman"/>
          <w:color w:val="000000" w:themeColor="text1"/>
        </w:rPr>
      </w:pPr>
      <w:r>
        <w:rPr>
          <w:rFonts w:ascii="Times New Roman"/>
          <w:color w:val="000000" w:themeColor="text1"/>
        </w:rPr>
        <w:t>DB54 XXXX—202X</w:t>
      </w:r>
    </w:p>
    <w:p w14:paraId="205A5F43">
      <w:pPr>
        <w:pStyle w:val="112"/>
        <w:framePr w:wrap="around" w:x="1292" w:y="2896"/>
        <w:wordWrap w:val="0"/>
        <w:spacing w:before="0"/>
        <w:rPr>
          <w:rFonts w:ascii="Times New Roman"/>
          <w:color w:val="000000" w:themeColor="text1"/>
        </w:rPr>
      </w:pP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56"/>
      </w:tblGrid>
      <w:tr w14:paraId="76E23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tcBorders>
              <w:top w:val="nil"/>
              <w:left w:val="nil"/>
              <w:bottom w:val="nil"/>
              <w:right w:val="nil"/>
            </w:tcBorders>
          </w:tcPr>
          <w:p w14:paraId="56BB7210">
            <w:pPr>
              <w:pStyle w:val="113"/>
              <w:framePr w:wrap="around" w:x="1292" w:y="2896"/>
              <w:jc w:val="both"/>
              <w:rPr>
                <w:rFonts w:ascii="Times New Roman"/>
                <w:color w:val="000000" w:themeColor="text1"/>
              </w:rPr>
            </w:pPr>
          </w:p>
        </w:tc>
      </w:tr>
    </w:tbl>
    <w:p w14:paraId="6B152387">
      <w:pPr>
        <w:pStyle w:val="112"/>
        <w:framePr w:wrap="around" w:x="1292" w:y="2896"/>
        <w:rPr>
          <w:rFonts w:ascii="Times New Roman"/>
          <w:color w:val="000000" w:themeColor="text1"/>
        </w:rPr>
      </w:pPr>
    </w:p>
    <w:p w14:paraId="5CC982D1">
      <w:pPr>
        <w:pStyle w:val="112"/>
        <w:framePr w:wrap="around" w:x="1292" w:y="2896"/>
        <w:rPr>
          <w:rFonts w:ascii="Times New Roman"/>
          <w:color w:val="000000" w:themeColor="text1"/>
        </w:rPr>
      </w:pPr>
    </w:p>
    <w:p w14:paraId="37AB5CDA">
      <w:pPr>
        <w:pStyle w:val="114"/>
        <w:framePr w:wrap="around" w:x="1411"/>
        <w:rPr>
          <w:rFonts w:ascii="Times New Roman"/>
          <w:color w:val="000000" w:themeColor="text1"/>
          <w:sz w:val="44"/>
          <w:szCs w:val="16"/>
        </w:rPr>
      </w:pPr>
      <w:r>
        <w:rPr>
          <w:rFonts w:ascii="Times New Roman"/>
          <w:color w:val="000000" w:themeColor="text1"/>
          <w:sz w:val="44"/>
          <w:szCs w:val="16"/>
        </w:rPr>
        <w:t>小型生活垃圾焚烧</w:t>
      </w:r>
      <w:r>
        <w:rPr>
          <w:rFonts w:hint="eastAsia" w:ascii="Times New Roman"/>
          <w:color w:val="000000" w:themeColor="text1"/>
          <w:sz w:val="44"/>
          <w:szCs w:val="16"/>
        </w:rPr>
        <w:t>处理设施</w:t>
      </w:r>
      <w:r>
        <w:rPr>
          <w:rFonts w:ascii="Times New Roman"/>
          <w:color w:val="000000" w:themeColor="text1"/>
          <w:sz w:val="44"/>
          <w:szCs w:val="16"/>
        </w:rPr>
        <w:t>环境风险防控</w:t>
      </w:r>
      <w:r>
        <w:rPr>
          <w:rFonts w:ascii="Times New Roman"/>
          <w:color w:val="000000" w:themeColor="text1"/>
          <w:sz w:val="44"/>
          <w:szCs w:val="16"/>
        </w:rPr>
        <w:br w:type="textWrapping"/>
      </w:r>
      <w:r>
        <w:rPr>
          <w:rFonts w:ascii="Times New Roman"/>
          <w:color w:val="000000" w:themeColor="text1"/>
          <w:sz w:val="44"/>
          <w:szCs w:val="16"/>
        </w:rPr>
        <w:t>技术规范</w:t>
      </w:r>
    </w:p>
    <w:p w14:paraId="2439130A">
      <w:pPr>
        <w:pStyle w:val="115"/>
        <w:framePr w:wrap="around" w:x="1411"/>
        <w:spacing w:before="156" w:after="156"/>
        <w:textAlignment w:val="bottom"/>
        <w:rPr>
          <w:color w:val="000000" w:themeColor="text1"/>
        </w:rPr>
      </w:pPr>
      <w:r>
        <w:rPr>
          <w:color w:val="000000" w:themeColor="text1"/>
        </w:rPr>
        <w:t>Technical specification for environmental risk control of small scale municipal solid waste incineration plants</w:t>
      </w:r>
    </w:p>
    <w:p w14:paraId="39CD2641">
      <w:pPr>
        <w:pStyle w:val="115"/>
        <w:framePr w:wrap="around" w:x="1411"/>
        <w:rPr>
          <w:rFonts w:eastAsia="宋体"/>
          <w:color w:val="000000" w:themeColor="text1"/>
        </w:rPr>
      </w:pPr>
      <w:r>
        <w:rPr>
          <w:rFonts w:eastAsia="宋体"/>
          <w:color w:val="000000" w:themeColor="text1"/>
        </w:rPr>
        <w:t>（</w:t>
      </w:r>
      <w:r>
        <w:rPr>
          <w:rFonts w:hint="eastAsia" w:eastAsia="宋体"/>
          <w:color w:val="000000" w:themeColor="text1"/>
        </w:rPr>
        <w:t>征求</w:t>
      </w:r>
      <w:r>
        <w:rPr>
          <w:rFonts w:eastAsia="宋体"/>
          <w:color w:val="000000" w:themeColor="text1"/>
        </w:rPr>
        <w:t>意见稿）</w:t>
      </w:r>
    </w:p>
    <w:p w14:paraId="6BF7C6D9">
      <w:pPr>
        <w:pStyle w:val="116"/>
        <w:framePr w:wrap="around" w:x="1411"/>
        <w:rPr>
          <w:rFonts w:ascii="Times New Roman"/>
          <w:color w:val="000000" w:themeColor="text1"/>
        </w:rPr>
      </w:pP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5"/>
      </w:tblGrid>
      <w:tr w14:paraId="022F1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tcPr>
          <w:p w14:paraId="7A90822A">
            <w:pPr>
              <w:pStyle w:val="117"/>
              <w:framePr w:wrap="around" w:x="1411"/>
              <w:rPr>
                <w:rFonts w:ascii="Times New Roman"/>
                <w:color w:val="000000" w:themeColor="text1"/>
              </w:rPr>
            </w:pPr>
          </w:p>
        </w:tc>
      </w:tr>
      <w:tr w14:paraId="4D522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tcPr>
          <w:p w14:paraId="64EF4876">
            <w:pPr>
              <w:pStyle w:val="118"/>
              <w:framePr w:wrap="around" w:x="1411"/>
              <w:rPr>
                <w:rFonts w:ascii="Times New Roman"/>
                <w:color w:val="000000" w:themeColor="text1"/>
              </w:rPr>
            </w:pPr>
            <w:r>
              <w:rPr>
                <w:rFonts w:ascii="Times New Roman"/>
                <w:color w:val="000000" w:themeColor="text1"/>
              </w:rPr>
              <mc:AlternateContent>
                <mc:Choice Requires="wps">
                  <w:drawing>
                    <wp:anchor distT="0" distB="0" distL="114300" distR="114300" simplePos="0" relativeHeight="251659264" behindDoc="1" locked="1" layoutInCell="1" allowOverlap="1">
                      <wp:simplePos x="0" y="0"/>
                      <wp:positionH relativeFrom="column">
                        <wp:posOffset>2200910</wp:posOffset>
                      </wp:positionH>
                      <wp:positionV relativeFrom="paragraph">
                        <wp:posOffset>308610</wp:posOffset>
                      </wp:positionV>
                      <wp:extent cx="1905000" cy="254000"/>
                      <wp:effectExtent l="0" t="0" r="0" b="5080"/>
                      <wp:wrapNone/>
                      <wp:docPr id="2" name="RQ"/>
                      <wp:cNvGraphicFramePr/>
                      <a:graphic xmlns:a="http://schemas.openxmlformats.org/drawingml/2006/main">
                        <a:graphicData uri="http://schemas.microsoft.com/office/word/2010/wordprocessingShape">
                          <wps:wsp>
                            <wps:cNvSpPr>
                              <a:spLocks noChangeArrowheads="1"/>
                            </wps:cNvSpPr>
                            <wps:spPr bwMode="auto">
                              <a:xfrm>
                                <a:off x="0" y="0"/>
                                <a:ext cx="1905000" cy="254000"/>
                              </a:xfrm>
                              <a:prstGeom prst="rect">
                                <a:avLst/>
                              </a:prstGeom>
                              <a:solidFill>
                                <a:srgbClr val="FFFFFF"/>
                              </a:solidFill>
                              <a:ln>
                                <a:noFill/>
                              </a:ln>
                              <a:effectLst/>
                            </wps:spPr>
                            <wps:bodyPr rot="0" vert="horz" wrap="square" lIns="91440" tIns="45720" rIns="91440" bIns="45720" anchor="t" anchorCtr="0" upright="1">
                              <a:noAutofit/>
                            </wps:bodyPr>
                          </wps:wsp>
                        </a:graphicData>
                      </a:graphic>
                    </wp:anchor>
                  </w:drawing>
                </mc:Choice>
                <mc:Fallback>
                  <w:pict>
                    <v:rect id="RQ" o:spid="_x0000_s1026" o:spt="1" style="position:absolute;left:0pt;margin-left:173.3pt;margin-top:24.3pt;height:20pt;width:150pt;z-index:-251657216;mso-width-relative:page;mso-height-relative:page;" fillcolor="#FFFFFF" filled="t" stroked="f" coordsize="21600,21600" o:gfxdata="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5d2171QAAAAkBAAAPAAAAAAAAAAEAIAAAACIA&#10;AABkcnMvZG93bnJldi54bWxQSwECFAAUAAAACACHTuJANbws/gwCAAAuBAAADgAAAAAAAAABACAA&#10;AAAkAQAAZHJzL2Uyb0RvYy54bWxQSwUGAAAAAAYABgBZAQAAogUAAAAA&#10;">
                      <v:fill on="t" focussize="0,0"/>
                      <v:stroke on="f"/>
                      <v:imagedata o:title=""/>
                      <o:lock v:ext="edit" aspectratio="f"/>
                      <w10:anchorlock/>
                    </v:rect>
                  </w:pict>
                </mc:Fallback>
              </mc:AlternateContent>
            </w:r>
          </w:p>
        </w:tc>
      </w:tr>
    </w:tbl>
    <w:p w14:paraId="1C394EBF">
      <w:pPr>
        <w:pStyle w:val="119"/>
        <w:framePr w:wrap="around" w:hAnchor="page" w:x="1250" w:y="14170"/>
        <w:rPr>
          <w:color w:val="000000" w:themeColor="text1"/>
        </w:rPr>
      </w:pPr>
      <w:r>
        <w:rPr>
          <w:color w:val="000000" w:themeColor="text1"/>
        </w:rPr>
        <mc:AlternateContent>
          <mc:Choice Requires="wps">
            <w:drawing>
              <wp:anchor distT="0" distB="0" distL="114300" distR="114300" simplePos="0" relativeHeight="251662336" behindDoc="0" locked="0" layoutInCell="1" allowOverlap="1">
                <wp:simplePos x="0" y="0"/>
                <wp:positionH relativeFrom="column">
                  <wp:posOffset>899160</wp:posOffset>
                </wp:positionH>
                <wp:positionV relativeFrom="paragraph">
                  <wp:posOffset>9299575</wp:posOffset>
                </wp:positionV>
                <wp:extent cx="6021705" cy="17145"/>
                <wp:effectExtent l="0" t="4445" r="13335" b="8890"/>
                <wp:wrapNone/>
                <wp:docPr id="7" name="AutoShape 12"/>
                <wp:cNvGraphicFramePr/>
                <a:graphic xmlns:a="http://schemas.openxmlformats.org/drawingml/2006/main">
                  <a:graphicData uri="http://schemas.microsoft.com/office/word/2010/wordprocessingShape">
                    <wps:wsp>
                      <wps:cNvCnPr>
                        <a:cxnSpLocks noChangeShapeType="1"/>
                      </wps:cNvCnPr>
                      <wps:spPr bwMode="auto">
                        <a:xfrm flipV="1">
                          <a:off x="0" y="0"/>
                          <a:ext cx="6021705" cy="17145"/>
                        </a:xfrm>
                        <a:prstGeom prst="straightConnector1">
                          <a:avLst/>
                        </a:prstGeom>
                        <a:noFill/>
                        <a:ln w="9525">
                          <a:solidFill>
                            <a:srgbClr val="000000"/>
                          </a:solidFill>
                          <a:round/>
                        </a:ln>
                        <a:effectLst/>
                      </wps:spPr>
                      <wps:bodyPr/>
                    </wps:wsp>
                  </a:graphicData>
                </a:graphic>
              </wp:anchor>
            </w:drawing>
          </mc:Choice>
          <mc:Fallback>
            <w:pict>
              <v:shape id="AutoShape 12" o:spid="_x0000_s1026" o:spt="32" type="#_x0000_t32" style="position:absolute;left:0pt;flip:y;margin-left:70.8pt;margin-top:732.25pt;height:1.35pt;width:474.15pt;z-index:251662336;mso-width-relative:page;mso-height-relative:page;" filled="f" stroked="t" coordsize="21600,21600" o:gfxdata="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g59A2QAA&#10;AA4BAAAPAAAAAAAAAAEAIAAAACIAAABkcnMvZG93bnJldi54bWxQSwECFAAUAAAACACHTuJALlEW&#10;yuQBAADPAwAADgAAAAAAAAABACAAAAAoAQAAZHJzL2Uyb0RvYy54bWxQSwUGAAAAAAYABgBZAQAA&#10;fgUAAAAA&#10;">
                <v:fill on="f" focussize="0,0"/>
                <v:stroke color="#000000" joinstyle="round"/>
                <v:imagedata o:title=""/>
                <o:lock v:ext="edit" aspectratio="f"/>
              </v:shape>
            </w:pict>
          </mc:Fallback>
        </mc:AlternateContent>
      </w:r>
      <w:r>
        <w:rPr>
          <w:color w:val="000000" w:themeColor="text1"/>
        </w:rPr>
        <mc:AlternateContent>
          <mc:Choice Requires="wps">
            <w:drawing>
              <wp:anchor distT="0" distB="0" distL="114300" distR="114300" simplePos="0" relativeHeight="251661312" behindDoc="0" locked="0" layoutInCell="1" allowOverlap="1">
                <wp:simplePos x="0" y="0"/>
                <wp:positionH relativeFrom="column">
                  <wp:posOffset>833120</wp:posOffset>
                </wp:positionH>
                <wp:positionV relativeFrom="paragraph">
                  <wp:posOffset>9251950</wp:posOffset>
                </wp:positionV>
                <wp:extent cx="1056005" cy="0"/>
                <wp:effectExtent l="0" t="4445" r="0" b="5080"/>
                <wp:wrapNone/>
                <wp:docPr id="6" name="AutoShape 10"/>
                <wp:cNvGraphicFramePr/>
                <a:graphic xmlns:a="http://schemas.openxmlformats.org/drawingml/2006/main">
                  <a:graphicData uri="http://schemas.microsoft.com/office/word/2010/wordprocessingShape">
                    <wps:wsp>
                      <wps:cNvCnPr>
                        <a:cxnSpLocks noChangeShapeType="1"/>
                      </wps:cNvCnPr>
                      <wps:spPr bwMode="auto">
                        <a:xfrm>
                          <a:off x="0" y="0"/>
                          <a:ext cx="1056005" cy="0"/>
                        </a:xfrm>
                        <a:prstGeom prst="straightConnector1">
                          <a:avLst/>
                        </a:prstGeom>
                        <a:noFill/>
                        <a:ln w="9525">
                          <a:solidFill>
                            <a:srgbClr val="000000"/>
                          </a:solidFill>
                          <a:round/>
                        </a:ln>
                        <a:effectLst/>
                      </wps:spPr>
                      <wps:bodyPr/>
                    </wps:wsp>
                  </a:graphicData>
                </a:graphic>
              </wp:anchor>
            </w:drawing>
          </mc:Choice>
          <mc:Fallback>
            <w:pict>
              <v:shape id="AutoShape 10" o:spid="_x0000_s1026" o:spt="32" type="#_x0000_t32" style="position:absolute;left:0pt;margin-left:65.6pt;margin-top:728.5pt;height:0pt;width:83.15pt;z-index:251661312;mso-width-relative:page;mso-height-relative:page;" filled="f" stroked="t" coordsize="21600,21600" o:gfxdata="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t6H4NgAAAANAQAADwAAAAAA&#10;AAABACAAAAAiAAAAZHJzL2Rvd25yZXYueG1sUEsBAhQAFAAAAAgAh07iQMdweGbaAQAAwQMAAA4A&#10;AAAAAAAAAQAgAAAAJwEAAGRycy9lMm9Eb2MueG1sUEsFBgAAAAAGAAYAWQEAAHMFAAAAAA==&#10;">
                <v:fill on="f" focussize="0,0"/>
                <v:stroke color="#000000" joinstyle="round"/>
                <v:imagedata o:title=""/>
                <o:lock v:ext="edit" aspectratio="f"/>
              </v:shape>
            </w:pict>
          </mc:Fallback>
        </mc:AlternateContent>
      </w:r>
      <w:r>
        <w:rPr>
          <w:color w:val="000000" w:themeColor="text1"/>
        </w:rPr>
        <w:t>202X-XX-XX发布</w:t>
      </w:r>
      <w:r>
        <w:rPr>
          <w:color w:val="000000" w:themeColor="text1"/>
        </w:rPr>
        <mc:AlternateContent>
          <mc:Choice Requires="wps">
            <w:drawing>
              <wp:anchor distT="0" distB="0" distL="114300" distR="114300" simplePos="0" relativeHeight="251660288" behindDoc="0" locked="1" layoutInCell="1" allowOverlap="1">
                <wp:simplePos x="0" y="0"/>
                <wp:positionH relativeFrom="margin">
                  <wp:align>center</wp:align>
                </wp:positionH>
                <wp:positionV relativeFrom="page">
                  <wp:posOffset>9324975</wp:posOffset>
                </wp:positionV>
                <wp:extent cx="6120130" cy="0"/>
                <wp:effectExtent l="0" t="4445" r="0" b="5080"/>
                <wp:wrapNone/>
                <wp:docPr id="4" name="Line 2"/>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a:effectLst/>
                      </wps:spPr>
                      <wps:bodyPr/>
                    </wps:wsp>
                  </a:graphicData>
                </a:graphic>
              </wp:anchor>
            </w:drawing>
          </mc:Choice>
          <mc:Fallback>
            <w:pict>
              <v:line id="Line 2" o:spid="_x0000_s1026" o:spt="20" style="position:absolute;left:0pt;margin-top:734.25pt;height:0pt;width:481.9pt;mso-position-horizontal:center;mso-position-horizontal-relative:margin;mso-position-vertical-relative:page;z-index:251660288;mso-width-relative:page;mso-height-relative:page;" filled="f" stroked="t" coordsize="21600,21600" o:gfxdata="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xQZmJ1QAAAAoBAAAPAAAAAAAAAAEAIAAAACIAAABkcnMv&#10;ZG93bnJldi54bWxQSwECFAAUAAAACACHTuJA4Aw+gs0BAACtAwAADgAAAAAAAAABACAAAAAkAQAA&#10;ZHJzL2Uyb0RvYy54bWxQSwUGAAAAAAYABgBZAQAAYwUAAAAA&#10;">
                <v:fill on="f" focussize="0,0"/>
                <v:stroke color="#000000" joinstyle="round"/>
                <v:imagedata o:title=""/>
                <o:lock v:ext="edit" aspectratio="f"/>
                <w10:anchorlock/>
              </v:line>
            </w:pict>
          </mc:Fallback>
        </mc:AlternateContent>
      </w:r>
    </w:p>
    <w:p w14:paraId="4BEED770">
      <w:pPr>
        <w:pStyle w:val="121"/>
        <w:framePr w:wrap="around" w:hAnchor="page" w:x="6943" w:y="14156"/>
        <w:rPr>
          <w:color w:val="000000" w:themeColor="text1"/>
        </w:rPr>
      </w:pPr>
      <w:r>
        <w:rPr>
          <w:color w:val="000000" w:themeColor="text1"/>
        </w:rPr>
        <w:t>202X-XX-XX实施</w:t>
      </w:r>
    </w:p>
    <w:p w14:paraId="33644B06">
      <w:pPr>
        <w:pStyle w:val="123"/>
        <w:framePr w:h="781" w:hRule="exact" w:wrap="around" w:x="2156" w:y="15046"/>
        <w:rPr>
          <w:rFonts w:ascii="Times New Roman"/>
          <w:color w:val="000000" w:themeColor="text1"/>
        </w:rPr>
      </w:pPr>
      <w:r>
        <w:rPr>
          <w:rFonts w:ascii="Times New Roman"/>
          <w:color w:val="000000" w:themeColor="text1"/>
        </w:rPr>
        <w:t>西藏自治区市场监督管理局   </w:t>
      </w:r>
      <w:r>
        <w:rPr>
          <w:rStyle w:val="125"/>
          <w:rFonts w:ascii="Times New Roman"/>
          <w:color w:val="000000" w:themeColor="text1"/>
        </w:rPr>
        <w:t>发布</w:t>
      </w:r>
    </w:p>
    <w:p w14:paraId="0BAF6511"/>
    <w:p w14:paraId="58911909">
      <w:pPr>
        <w:ind w:left="420"/>
      </w:pPr>
    </w:p>
    <w:p w14:paraId="6081AB28">
      <w:pPr>
        <w:ind w:left="420"/>
      </w:pPr>
    </w:p>
    <w:p w14:paraId="2AAFACF0">
      <w:pPr>
        <w:ind w:left="420"/>
      </w:pPr>
    </w:p>
    <w:p w14:paraId="3E97950D">
      <w:pPr>
        <w:ind w:left="420"/>
      </w:pPr>
    </w:p>
    <w:p w14:paraId="5FA39653">
      <w:pPr>
        <w:ind w:left="420"/>
      </w:pPr>
    </w:p>
    <w:p w14:paraId="2387C6FE">
      <w:pPr>
        <w:ind w:left="420"/>
      </w:pPr>
    </w:p>
    <w:p w14:paraId="677D51D4">
      <w:pPr>
        <w:ind w:left="420"/>
      </w:pPr>
    </w:p>
    <w:p w14:paraId="650343B9">
      <w:pPr>
        <w:tabs>
          <w:tab w:val="left" w:pos="5316"/>
        </w:tabs>
        <w:ind w:left="420"/>
      </w:pPr>
      <w:r>
        <w:tab/>
      </w:r>
    </w:p>
    <w:p w14:paraId="2118A31E">
      <w:pPr>
        <w:ind w:left="420"/>
      </w:pPr>
    </w:p>
    <w:p w14:paraId="3F962976">
      <w:pPr>
        <w:ind w:left="420"/>
        <w:sectPr>
          <w:headerReference r:id="rId3" w:type="even"/>
          <w:footerReference r:id="rId4" w:type="even"/>
          <w:pgSz w:w="11906" w:h="16838"/>
          <w:pgMar w:top="567" w:right="850" w:bottom="1134" w:left="1418" w:header="0" w:footer="0" w:gutter="0"/>
          <w:pgNumType w:start="1"/>
          <w:cols w:space="720" w:num="1"/>
          <w:docGrid w:type="lines" w:linePitch="312" w:charSpace="0"/>
        </w:sectPr>
      </w:pPr>
    </w:p>
    <w:p w14:paraId="353DB676">
      <w:pPr>
        <w:ind w:left="420"/>
        <w:sectPr>
          <w:pgSz w:w="11906" w:h="16838"/>
          <w:pgMar w:top="567" w:right="850" w:bottom="1134" w:left="1418" w:header="0" w:footer="0" w:gutter="0"/>
          <w:cols w:space="720" w:num="1"/>
          <w:docGrid w:type="lines" w:linePitch="312" w:charSpace="0"/>
        </w:sectPr>
      </w:pPr>
    </w:p>
    <w:p w14:paraId="1015D572">
      <w:pPr>
        <w:pStyle w:val="99"/>
        <w:spacing w:line="240" w:lineRule="auto"/>
        <w:ind w:left="640" w:hanging="640"/>
        <w:rPr>
          <w:rFonts w:ascii="Times New Roman"/>
        </w:rPr>
      </w:pPr>
      <w:bookmarkStart w:id="0" w:name="_Toc58272852"/>
      <w:bookmarkStart w:id="1" w:name="_Toc15204"/>
      <w:bookmarkStart w:id="2" w:name="_Toc43913930"/>
      <w:bookmarkStart w:id="3" w:name="_Toc240989739"/>
      <w:r>
        <w:rPr>
          <w:rFonts w:ascii="Times New Roman"/>
        </w:rPr>
        <w:t>目</w:t>
      </w:r>
      <w:bookmarkStart w:id="4" w:name="BKML"/>
      <w:r>
        <w:rPr>
          <w:rFonts w:ascii="Times New Roman"/>
        </w:rPr>
        <w:t>  次</w:t>
      </w:r>
      <w:bookmarkEnd w:id="0"/>
      <w:bookmarkEnd w:id="1"/>
      <w:bookmarkEnd w:id="2"/>
      <w:bookmarkEnd w:id="3"/>
      <w:bookmarkEnd w:id="4"/>
    </w:p>
    <w:sdt>
      <w:sdtPr>
        <w:id w:val="147461461"/>
        <w:docPartObj>
          <w:docPartGallery w:val="Table of Contents"/>
          <w:docPartUnique/>
        </w:docPartObj>
      </w:sdtPr>
      <w:sdtContent>
        <w:p w14:paraId="0FE041C7">
          <w:pPr>
            <w:jc w:val="center"/>
          </w:pPr>
        </w:p>
        <w:p w14:paraId="7951C0B0">
          <w:pPr>
            <w:pStyle w:val="26"/>
            <w:rPr>
              <w:rFonts w:ascii="Times New Roman" w:hAnsi="Times New Roman" w:cs="Times New Roman" w:eastAsiaTheme="minorEastAsia"/>
              <w:caps w:val="0"/>
              <w:kern w:val="2"/>
              <w:szCs w:val="22"/>
            </w:rPr>
          </w:pPr>
          <w:r>
            <w:rPr>
              <w:rFonts w:ascii="Times New Roman" w:hAnsi="Times New Roman" w:cs="Times New Roman"/>
            </w:rPr>
            <w:fldChar w:fldCharType="begin"/>
          </w:r>
          <w:r>
            <w:rPr>
              <w:rFonts w:ascii="Times New Roman" w:hAnsi="Times New Roman" w:cs="Times New Roman"/>
            </w:rPr>
            <w:instrText xml:space="preserve">TOC \o "1-2" \h \u </w:instrText>
          </w:r>
          <w:r>
            <w:rPr>
              <w:rFonts w:ascii="Times New Roman" w:hAnsi="Times New Roman" w:cs="Times New Roman"/>
            </w:rPr>
            <w:fldChar w:fldCharType="separate"/>
          </w:r>
          <w:r>
            <w:fldChar w:fldCharType="begin"/>
          </w:r>
          <w:r>
            <w:instrText xml:space="preserve"> HYPERLINK \l "_Toc240989739" </w:instrText>
          </w:r>
          <w:r>
            <w:fldChar w:fldCharType="separate"/>
          </w:r>
          <w:r>
            <w:rPr>
              <w:rStyle w:val="42"/>
              <w:rFonts w:ascii="Times New Roman" w:hAnsi="Times New Roman" w:cs="Times New Roman"/>
            </w:rPr>
            <w:t>目  次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_Toc240989739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fldChar w:fldCharType="end"/>
          </w:r>
        </w:p>
        <w:p w14:paraId="7A482241">
          <w:pPr>
            <w:pStyle w:val="26"/>
            <w:rPr>
              <w:rFonts w:ascii="Times New Roman" w:hAnsi="Times New Roman" w:cs="Times New Roman" w:eastAsiaTheme="minorEastAsia"/>
              <w:caps w:val="0"/>
              <w:kern w:val="2"/>
              <w:szCs w:val="22"/>
            </w:rPr>
          </w:pPr>
          <w:r>
            <w:fldChar w:fldCharType="begin"/>
          </w:r>
          <w:r>
            <w:instrText xml:space="preserve"> HYPERLINK \l "_Toc240989740" </w:instrText>
          </w:r>
          <w:r>
            <w:fldChar w:fldCharType="separate"/>
          </w:r>
          <w:r>
            <w:rPr>
              <w:rStyle w:val="42"/>
              <w:rFonts w:ascii="Times New Roman" w:hAnsi="Times New Roman" w:cs="Times New Roman"/>
            </w:rPr>
            <w:t>前  言</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_Toc240989740 \h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cs="Times New Roman"/>
            </w:rPr>
            <w:fldChar w:fldCharType="end"/>
          </w:r>
        </w:p>
        <w:p w14:paraId="0A5B464F">
          <w:pPr>
            <w:pStyle w:val="26"/>
            <w:rPr>
              <w:rFonts w:ascii="Times New Roman" w:hAnsi="Times New Roman" w:cs="Times New Roman" w:eastAsiaTheme="minorEastAsia"/>
              <w:caps w:val="0"/>
              <w:kern w:val="2"/>
              <w:szCs w:val="22"/>
            </w:rPr>
          </w:pPr>
          <w:r>
            <w:fldChar w:fldCharType="begin"/>
          </w:r>
          <w:r>
            <w:instrText xml:space="preserve"> HYPERLINK \l "_Toc240989741" </w:instrText>
          </w:r>
          <w:r>
            <w:fldChar w:fldCharType="separate"/>
          </w:r>
          <w:r>
            <w:rPr>
              <w:rStyle w:val="42"/>
              <w:rFonts w:ascii="Times New Roman" w:hAnsi="Times New Roman" w:cs="Times New Roman"/>
            </w:rPr>
            <w:t>小型生活垃圾焚烧处理设施环境风险防控技术规范</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_Toc240989741 \h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ascii="Times New Roman" w:hAnsi="Times New Roman" w:cs="Times New Roman"/>
            </w:rPr>
            <w:fldChar w:fldCharType="end"/>
          </w:r>
        </w:p>
        <w:p w14:paraId="1B31CBE1">
          <w:pPr>
            <w:pStyle w:val="26"/>
            <w:rPr>
              <w:rFonts w:ascii="Times New Roman" w:hAnsi="Times New Roman" w:cs="Times New Roman" w:eastAsiaTheme="minorEastAsia"/>
              <w:caps w:val="0"/>
              <w:kern w:val="2"/>
              <w:szCs w:val="22"/>
            </w:rPr>
          </w:pPr>
          <w:r>
            <w:fldChar w:fldCharType="begin"/>
          </w:r>
          <w:r>
            <w:instrText xml:space="preserve"> HYPERLINK \l "_Toc240989742" </w:instrText>
          </w:r>
          <w:r>
            <w:fldChar w:fldCharType="separate"/>
          </w:r>
          <w:r>
            <w:rPr>
              <w:rStyle w:val="42"/>
              <w:rFonts w:ascii="Times New Roman" w:hAnsi="Times New Roman" w:cs="Times New Roman"/>
            </w:rPr>
            <w:t>1 适用范围</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_Toc240989742 \h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ascii="Times New Roman" w:hAnsi="Times New Roman" w:cs="Times New Roman"/>
            </w:rPr>
            <w:fldChar w:fldCharType="end"/>
          </w:r>
        </w:p>
        <w:p w14:paraId="13BE80FC">
          <w:pPr>
            <w:pStyle w:val="26"/>
            <w:rPr>
              <w:rFonts w:ascii="Times New Roman" w:hAnsi="Times New Roman" w:cs="Times New Roman" w:eastAsiaTheme="minorEastAsia"/>
              <w:caps w:val="0"/>
              <w:kern w:val="2"/>
              <w:szCs w:val="22"/>
            </w:rPr>
          </w:pPr>
          <w:r>
            <w:fldChar w:fldCharType="begin"/>
          </w:r>
          <w:r>
            <w:instrText xml:space="preserve"> HYPERLINK \l "_Toc240989743" </w:instrText>
          </w:r>
          <w:r>
            <w:fldChar w:fldCharType="separate"/>
          </w:r>
          <w:r>
            <w:rPr>
              <w:rStyle w:val="42"/>
              <w:rFonts w:ascii="Times New Roman" w:hAnsi="Times New Roman" w:cs="Times New Roman"/>
            </w:rPr>
            <w:t>2 规范性引用文件</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_Toc240989743 \h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ascii="Times New Roman" w:hAnsi="Times New Roman" w:cs="Times New Roman"/>
            </w:rPr>
            <w:fldChar w:fldCharType="end"/>
          </w:r>
        </w:p>
        <w:p w14:paraId="4AC100AD">
          <w:pPr>
            <w:pStyle w:val="26"/>
            <w:rPr>
              <w:rFonts w:ascii="Times New Roman" w:hAnsi="Times New Roman" w:cs="Times New Roman" w:eastAsiaTheme="minorEastAsia"/>
              <w:caps w:val="0"/>
              <w:kern w:val="2"/>
              <w:szCs w:val="22"/>
            </w:rPr>
          </w:pPr>
          <w:r>
            <w:fldChar w:fldCharType="begin"/>
          </w:r>
          <w:r>
            <w:instrText xml:space="preserve"> HYPERLINK \l "_Toc240989744" </w:instrText>
          </w:r>
          <w:r>
            <w:fldChar w:fldCharType="separate"/>
          </w:r>
          <w:r>
            <w:rPr>
              <w:rStyle w:val="42"/>
              <w:rFonts w:ascii="Times New Roman" w:hAnsi="Times New Roman" w:cs="Times New Roman"/>
            </w:rPr>
            <w:t>3 术语和定义</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_Toc240989744 \h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ascii="Times New Roman" w:hAnsi="Times New Roman" w:cs="Times New Roman"/>
            </w:rPr>
            <w:fldChar w:fldCharType="end"/>
          </w:r>
        </w:p>
        <w:p w14:paraId="77FB2B0B">
          <w:pPr>
            <w:pStyle w:val="26"/>
            <w:rPr>
              <w:rFonts w:ascii="Times New Roman" w:hAnsi="Times New Roman" w:cs="Times New Roman" w:eastAsiaTheme="minorEastAsia"/>
              <w:caps w:val="0"/>
              <w:kern w:val="2"/>
              <w:szCs w:val="22"/>
            </w:rPr>
          </w:pPr>
          <w:r>
            <w:fldChar w:fldCharType="begin"/>
          </w:r>
          <w:r>
            <w:instrText xml:space="preserve"> HYPERLINK \l "_Toc240989745" </w:instrText>
          </w:r>
          <w:r>
            <w:fldChar w:fldCharType="separate"/>
          </w:r>
          <w:r>
            <w:rPr>
              <w:rStyle w:val="42"/>
              <w:rFonts w:ascii="Times New Roman" w:hAnsi="Times New Roman" w:cs="Times New Roman"/>
            </w:rPr>
            <w:t>4 规划及建设阶段的环境风险防控</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_Toc240989745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14:paraId="0575A75E">
          <w:pPr>
            <w:pStyle w:val="29"/>
            <w:tabs>
              <w:tab w:val="right" w:leader="dot" w:pos="9344"/>
            </w:tabs>
            <w:rPr>
              <w:rFonts w:ascii="Times New Roman" w:hAnsi="Times New Roman" w:cs="Times New Roman" w:eastAsiaTheme="minorEastAsia"/>
              <w:smallCaps w:val="0"/>
              <w:sz w:val="21"/>
              <w:szCs w:val="22"/>
            </w:rPr>
          </w:pPr>
          <w:r>
            <w:fldChar w:fldCharType="begin"/>
          </w:r>
          <w:r>
            <w:instrText xml:space="preserve"> HYPERLINK \l "_Toc240989746" </w:instrText>
          </w:r>
          <w:r>
            <w:fldChar w:fldCharType="separate"/>
          </w:r>
          <w:r>
            <w:rPr>
              <w:rStyle w:val="42"/>
              <w:rFonts w:ascii="Times New Roman" w:hAnsi="Times New Roman" w:cs="Times New Roman"/>
              <w:kern w:val="0"/>
            </w:rPr>
            <w:t>4.1</w:t>
          </w:r>
          <w:r>
            <w:rPr>
              <w:rStyle w:val="42"/>
              <w:rFonts w:ascii="Times New Roman" w:hAnsi="Times New Roman" w:cs="Times New Roman"/>
            </w:rPr>
            <w:t xml:space="preserve"> 规划和选址</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_Toc240989746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14:paraId="085E847D">
          <w:pPr>
            <w:pStyle w:val="29"/>
            <w:tabs>
              <w:tab w:val="right" w:leader="dot" w:pos="9344"/>
            </w:tabs>
            <w:rPr>
              <w:rFonts w:ascii="Times New Roman" w:hAnsi="Times New Roman" w:cs="Times New Roman" w:eastAsiaTheme="minorEastAsia"/>
              <w:smallCaps w:val="0"/>
              <w:sz w:val="21"/>
              <w:szCs w:val="22"/>
            </w:rPr>
          </w:pPr>
          <w:r>
            <w:fldChar w:fldCharType="begin"/>
          </w:r>
          <w:r>
            <w:instrText xml:space="preserve"> HYPERLINK \l "_Toc240989747" </w:instrText>
          </w:r>
          <w:r>
            <w:fldChar w:fldCharType="separate"/>
          </w:r>
          <w:r>
            <w:rPr>
              <w:rStyle w:val="42"/>
              <w:rFonts w:ascii="Times New Roman" w:hAnsi="Times New Roman" w:cs="Times New Roman"/>
              <w:kern w:val="0"/>
            </w:rPr>
            <w:t>4.2</w:t>
          </w:r>
          <w:r>
            <w:rPr>
              <w:rStyle w:val="42"/>
              <w:rFonts w:ascii="Times New Roman" w:hAnsi="Times New Roman" w:cs="Times New Roman"/>
            </w:rPr>
            <w:t xml:space="preserve"> 环境保护手续</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_Toc240989747 \h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fldChar w:fldCharType="end"/>
          </w:r>
        </w:p>
        <w:p w14:paraId="271A2AF3">
          <w:pPr>
            <w:pStyle w:val="29"/>
            <w:tabs>
              <w:tab w:val="right" w:leader="dot" w:pos="9344"/>
            </w:tabs>
            <w:rPr>
              <w:rFonts w:ascii="Times New Roman" w:hAnsi="Times New Roman" w:cs="Times New Roman" w:eastAsiaTheme="minorEastAsia"/>
              <w:smallCaps w:val="0"/>
              <w:sz w:val="21"/>
              <w:szCs w:val="22"/>
            </w:rPr>
          </w:pPr>
          <w:r>
            <w:fldChar w:fldCharType="begin"/>
          </w:r>
          <w:r>
            <w:instrText xml:space="preserve"> HYPERLINK \l "_Toc240989748" </w:instrText>
          </w:r>
          <w:r>
            <w:fldChar w:fldCharType="separate"/>
          </w:r>
          <w:r>
            <w:rPr>
              <w:rStyle w:val="42"/>
              <w:rFonts w:ascii="Times New Roman" w:hAnsi="Times New Roman" w:cs="Times New Roman"/>
              <w:kern w:val="0"/>
            </w:rPr>
            <w:t>4.3</w:t>
          </w:r>
          <w:r>
            <w:rPr>
              <w:rStyle w:val="42"/>
              <w:rFonts w:ascii="Times New Roman" w:hAnsi="Times New Roman" w:cs="Times New Roman"/>
            </w:rPr>
            <w:t xml:space="preserve"> 工艺设备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_Toc240989748 \h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fldChar w:fldCharType="end"/>
          </w:r>
        </w:p>
        <w:p w14:paraId="337D24A7">
          <w:pPr>
            <w:pStyle w:val="29"/>
            <w:tabs>
              <w:tab w:val="right" w:leader="dot" w:pos="9344"/>
            </w:tabs>
            <w:rPr>
              <w:rFonts w:ascii="Times New Roman" w:hAnsi="Times New Roman" w:cs="Times New Roman" w:eastAsiaTheme="minorEastAsia"/>
              <w:smallCaps w:val="0"/>
              <w:sz w:val="21"/>
              <w:szCs w:val="22"/>
            </w:rPr>
          </w:pPr>
          <w:r>
            <w:fldChar w:fldCharType="begin"/>
          </w:r>
          <w:r>
            <w:instrText xml:space="preserve"> HYPERLINK \l "_Toc240989749" </w:instrText>
          </w:r>
          <w:r>
            <w:fldChar w:fldCharType="separate"/>
          </w:r>
          <w:r>
            <w:rPr>
              <w:rStyle w:val="42"/>
              <w:rFonts w:ascii="Times New Roman" w:hAnsi="Times New Roman" w:cs="Times New Roman"/>
              <w:kern w:val="0"/>
            </w:rPr>
            <w:t>4.4</w:t>
          </w:r>
          <w:r>
            <w:rPr>
              <w:rStyle w:val="42"/>
              <w:rFonts w:ascii="Times New Roman" w:hAnsi="Times New Roman" w:cs="Times New Roman"/>
            </w:rPr>
            <w:t xml:space="preserve"> 控制系统</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_Toc240989749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14:paraId="3963E72E">
          <w:pPr>
            <w:pStyle w:val="29"/>
            <w:tabs>
              <w:tab w:val="right" w:leader="dot" w:pos="9344"/>
            </w:tabs>
            <w:rPr>
              <w:rFonts w:ascii="Times New Roman" w:hAnsi="Times New Roman" w:cs="Times New Roman" w:eastAsiaTheme="minorEastAsia"/>
              <w:smallCaps w:val="0"/>
              <w:sz w:val="21"/>
              <w:szCs w:val="22"/>
            </w:rPr>
          </w:pPr>
          <w:r>
            <w:fldChar w:fldCharType="begin"/>
          </w:r>
          <w:r>
            <w:instrText xml:space="preserve"> HYPERLINK \l "_Toc240989750" </w:instrText>
          </w:r>
          <w:r>
            <w:fldChar w:fldCharType="separate"/>
          </w:r>
          <w:r>
            <w:rPr>
              <w:rStyle w:val="42"/>
              <w:rFonts w:ascii="Times New Roman" w:hAnsi="Times New Roman" w:cs="Times New Roman"/>
              <w:kern w:val="0"/>
            </w:rPr>
            <w:t>4.5</w:t>
          </w:r>
          <w:r>
            <w:rPr>
              <w:rStyle w:val="42"/>
              <w:rFonts w:ascii="Times New Roman" w:hAnsi="Times New Roman" w:cs="Times New Roman"/>
            </w:rPr>
            <w:t xml:space="preserve"> 高海拔环境耐受性能</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_Toc240989750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14:paraId="5EAA0ECF">
          <w:pPr>
            <w:pStyle w:val="29"/>
            <w:tabs>
              <w:tab w:val="right" w:leader="dot" w:pos="9344"/>
            </w:tabs>
            <w:rPr>
              <w:rFonts w:ascii="Times New Roman" w:hAnsi="Times New Roman" w:cs="Times New Roman" w:eastAsiaTheme="minorEastAsia"/>
              <w:smallCaps w:val="0"/>
              <w:sz w:val="21"/>
              <w:szCs w:val="22"/>
            </w:rPr>
          </w:pPr>
          <w:r>
            <w:fldChar w:fldCharType="begin"/>
          </w:r>
          <w:r>
            <w:instrText xml:space="preserve"> HYPERLINK \l "_Toc240989751" </w:instrText>
          </w:r>
          <w:r>
            <w:fldChar w:fldCharType="separate"/>
          </w:r>
          <w:r>
            <w:rPr>
              <w:rStyle w:val="42"/>
              <w:rFonts w:ascii="Times New Roman" w:hAnsi="Times New Roman" w:cs="Times New Roman"/>
              <w:kern w:val="0"/>
            </w:rPr>
            <w:t>4.6</w:t>
          </w:r>
          <w:r>
            <w:rPr>
              <w:rStyle w:val="42"/>
              <w:rFonts w:ascii="Times New Roman" w:hAnsi="Times New Roman" w:cs="Times New Roman"/>
            </w:rPr>
            <w:t xml:space="preserve"> 其他要求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_Toc240989751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14:paraId="4510AC54">
          <w:pPr>
            <w:pStyle w:val="26"/>
            <w:rPr>
              <w:rFonts w:ascii="Times New Roman" w:hAnsi="Times New Roman" w:cs="Times New Roman" w:eastAsiaTheme="minorEastAsia"/>
              <w:caps w:val="0"/>
              <w:kern w:val="2"/>
              <w:szCs w:val="22"/>
            </w:rPr>
          </w:pPr>
          <w:r>
            <w:fldChar w:fldCharType="begin"/>
          </w:r>
          <w:r>
            <w:instrText xml:space="preserve"> HYPERLINK \l "_Toc240989752" </w:instrText>
          </w:r>
          <w:r>
            <w:fldChar w:fldCharType="separate"/>
          </w:r>
          <w:r>
            <w:rPr>
              <w:rStyle w:val="42"/>
              <w:rFonts w:ascii="Times New Roman" w:hAnsi="Times New Roman" w:cs="Times New Roman"/>
            </w:rPr>
            <w:t>5 运行阶段的环境风险防控</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_Toc240989752 \h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rPr>
            <w:fldChar w:fldCharType="end"/>
          </w:r>
        </w:p>
        <w:p w14:paraId="2D54F2E4">
          <w:pPr>
            <w:pStyle w:val="29"/>
            <w:tabs>
              <w:tab w:val="right" w:leader="dot" w:pos="9344"/>
            </w:tabs>
            <w:rPr>
              <w:rFonts w:ascii="Times New Roman" w:hAnsi="Times New Roman" w:cs="Times New Roman" w:eastAsiaTheme="minorEastAsia"/>
              <w:smallCaps w:val="0"/>
              <w:sz w:val="21"/>
              <w:szCs w:val="22"/>
            </w:rPr>
          </w:pPr>
          <w:r>
            <w:fldChar w:fldCharType="begin"/>
          </w:r>
          <w:r>
            <w:instrText xml:space="preserve"> HYPERLINK \l "_Toc240989753" </w:instrText>
          </w:r>
          <w:r>
            <w:fldChar w:fldCharType="separate"/>
          </w:r>
          <w:r>
            <w:rPr>
              <w:rStyle w:val="42"/>
              <w:rFonts w:ascii="Times New Roman" w:hAnsi="Times New Roman" w:cs="Times New Roman"/>
              <w:kern w:val="0"/>
            </w:rPr>
            <w:t>5.1</w:t>
          </w:r>
          <w:r>
            <w:rPr>
              <w:rStyle w:val="42"/>
              <w:rFonts w:ascii="Times New Roman" w:hAnsi="Times New Roman" w:cs="Times New Roman"/>
            </w:rPr>
            <w:t xml:space="preserve"> 投运前的验收</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_Toc240989753 \h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rPr>
            <w:fldChar w:fldCharType="end"/>
          </w:r>
        </w:p>
        <w:p w14:paraId="5C667C8C">
          <w:pPr>
            <w:pStyle w:val="29"/>
            <w:tabs>
              <w:tab w:val="right" w:leader="dot" w:pos="9344"/>
            </w:tabs>
            <w:rPr>
              <w:rFonts w:ascii="Times New Roman" w:hAnsi="Times New Roman" w:cs="Times New Roman" w:eastAsiaTheme="minorEastAsia"/>
              <w:smallCaps w:val="0"/>
              <w:sz w:val="21"/>
              <w:szCs w:val="22"/>
            </w:rPr>
          </w:pPr>
          <w:r>
            <w:fldChar w:fldCharType="begin"/>
          </w:r>
          <w:r>
            <w:instrText xml:space="preserve"> HYPERLINK \l "_Toc240989754" </w:instrText>
          </w:r>
          <w:r>
            <w:fldChar w:fldCharType="separate"/>
          </w:r>
          <w:r>
            <w:rPr>
              <w:rStyle w:val="42"/>
              <w:rFonts w:ascii="Times New Roman" w:hAnsi="Times New Roman" w:cs="Times New Roman"/>
              <w:kern w:val="0"/>
            </w:rPr>
            <w:t>5.2</w:t>
          </w:r>
          <w:r>
            <w:rPr>
              <w:rStyle w:val="42"/>
              <w:rFonts w:ascii="Times New Roman" w:hAnsi="Times New Roman" w:cs="Times New Roman"/>
            </w:rPr>
            <w:t xml:space="preserve"> 焚烧炉运行</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_Toc240989754 \h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rPr>
            <w:fldChar w:fldCharType="end"/>
          </w:r>
        </w:p>
        <w:p w14:paraId="5F793B09">
          <w:pPr>
            <w:pStyle w:val="29"/>
            <w:tabs>
              <w:tab w:val="right" w:leader="dot" w:pos="9344"/>
            </w:tabs>
            <w:rPr>
              <w:rFonts w:ascii="Times New Roman" w:hAnsi="Times New Roman" w:cs="Times New Roman" w:eastAsiaTheme="minorEastAsia"/>
              <w:smallCaps w:val="0"/>
              <w:sz w:val="21"/>
              <w:szCs w:val="22"/>
            </w:rPr>
          </w:pPr>
          <w:r>
            <w:fldChar w:fldCharType="begin"/>
          </w:r>
          <w:r>
            <w:instrText xml:space="preserve"> HYPERLINK \l "_Toc240989755" </w:instrText>
          </w:r>
          <w:r>
            <w:fldChar w:fldCharType="separate"/>
          </w:r>
          <w:r>
            <w:rPr>
              <w:rStyle w:val="42"/>
              <w:rFonts w:ascii="Times New Roman" w:hAnsi="Times New Roman" w:cs="Times New Roman"/>
              <w:kern w:val="0"/>
            </w:rPr>
            <w:t>5.3</w:t>
          </w:r>
          <w:r>
            <w:rPr>
              <w:rStyle w:val="42"/>
              <w:rFonts w:ascii="Times New Roman" w:hAnsi="Times New Roman" w:cs="Times New Roman"/>
            </w:rPr>
            <w:t xml:space="preserve"> 烟气净化</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_Toc240989755 \h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rPr>
            <w:fldChar w:fldCharType="end"/>
          </w:r>
        </w:p>
        <w:p w14:paraId="6E4D82C4">
          <w:pPr>
            <w:pStyle w:val="29"/>
            <w:tabs>
              <w:tab w:val="right" w:leader="dot" w:pos="9344"/>
            </w:tabs>
            <w:rPr>
              <w:rFonts w:ascii="Times New Roman" w:hAnsi="Times New Roman" w:cs="Times New Roman" w:eastAsiaTheme="minorEastAsia"/>
              <w:smallCaps w:val="0"/>
              <w:sz w:val="21"/>
              <w:szCs w:val="22"/>
            </w:rPr>
          </w:pPr>
          <w:r>
            <w:fldChar w:fldCharType="begin"/>
          </w:r>
          <w:r>
            <w:instrText xml:space="preserve"> HYPERLINK \l "_Toc240989756" </w:instrText>
          </w:r>
          <w:r>
            <w:fldChar w:fldCharType="separate"/>
          </w:r>
          <w:r>
            <w:rPr>
              <w:rStyle w:val="42"/>
              <w:rFonts w:ascii="Times New Roman" w:hAnsi="Times New Roman" w:cs="Times New Roman"/>
              <w:kern w:val="0"/>
            </w:rPr>
            <w:t>5.4</w:t>
          </w:r>
          <w:r>
            <w:rPr>
              <w:rStyle w:val="42"/>
              <w:rFonts w:ascii="Times New Roman" w:hAnsi="Times New Roman" w:cs="Times New Roman"/>
            </w:rPr>
            <w:t xml:space="preserve"> 次生污染物处理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_Toc240989756 \h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rPr>
            <w:fldChar w:fldCharType="end"/>
          </w:r>
        </w:p>
        <w:p w14:paraId="1B9E1C38">
          <w:pPr>
            <w:pStyle w:val="26"/>
            <w:rPr>
              <w:rFonts w:ascii="Times New Roman" w:hAnsi="Times New Roman" w:cs="Times New Roman" w:eastAsiaTheme="minorEastAsia"/>
              <w:caps w:val="0"/>
              <w:kern w:val="2"/>
              <w:szCs w:val="22"/>
            </w:rPr>
          </w:pPr>
          <w:r>
            <w:fldChar w:fldCharType="begin"/>
          </w:r>
          <w:r>
            <w:instrText xml:space="preserve"> HYPERLINK \l "_Toc240989757" </w:instrText>
          </w:r>
          <w:r>
            <w:fldChar w:fldCharType="separate"/>
          </w:r>
          <w:r>
            <w:rPr>
              <w:rStyle w:val="42"/>
              <w:rFonts w:ascii="Times New Roman" w:hAnsi="Times New Roman" w:cs="Times New Roman"/>
            </w:rPr>
            <w:t>6 环境风险监测和评估</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_Toc240989757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14:paraId="20A0F818">
          <w:pPr>
            <w:pStyle w:val="29"/>
            <w:tabs>
              <w:tab w:val="right" w:leader="dot" w:pos="9344"/>
            </w:tabs>
            <w:rPr>
              <w:rFonts w:ascii="Times New Roman" w:hAnsi="Times New Roman" w:cs="Times New Roman" w:eastAsiaTheme="minorEastAsia"/>
              <w:smallCaps w:val="0"/>
              <w:sz w:val="21"/>
              <w:szCs w:val="22"/>
            </w:rPr>
          </w:pPr>
          <w:r>
            <w:fldChar w:fldCharType="begin"/>
          </w:r>
          <w:r>
            <w:instrText xml:space="preserve"> HYPERLINK \l "_Toc240989758" </w:instrText>
          </w:r>
          <w:r>
            <w:fldChar w:fldCharType="separate"/>
          </w:r>
          <w:r>
            <w:rPr>
              <w:rStyle w:val="42"/>
              <w:rFonts w:ascii="Times New Roman" w:hAnsi="Times New Roman" w:cs="Times New Roman"/>
              <w:kern w:val="0"/>
            </w:rPr>
            <w:t>6.1</w:t>
          </w:r>
          <w:r>
            <w:rPr>
              <w:rStyle w:val="42"/>
              <w:rFonts w:ascii="Times New Roman" w:hAnsi="Times New Roman" w:cs="Times New Roman"/>
            </w:rPr>
            <w:t xml:space="preserve"> 环境风险监测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_Toc240989758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14:paraId="4C214D9A">
          <w:pPr>
            <w:pStyle w:val="29"/>
            <w:tabs>
              <w:tab w:val="right" w:leader="dot" w:pos="9344"/>
            </w:tabs>
            <w:rPr>
              <w:rFonts w:ascii="Times New Roman" w:hAnsi="Times New Roman" w:cs="Times New Roman" w:eastAsiaTheme="minorEastAsia"/>
              <w:smallCaps w:val="0"/>
              <w:sz w:val="21"/>
              <w:szCs w:val="22"/>
            </w:rPr>
          </w:pPr>
          <w:r>
            <w:fldChar w:fldCharType="begin"/>
          </w:r>
          <w:r>
            <w:instrText xml:space="preserve"> HYPERLINK \l "_Toc240989759" </w:instrText>
          </w:r>
          <w:r>
            <w:fldChar w:fldCharType="separate"/>
          </w:r>
          <w:r>
            <w:rPr>
              <w:rStyle w:val="42"/>
              <w:rFonts w:ascii="Times New Roman" w:hAnsi="Times New Roman" w:cs="Times New Roman"/>
              <w:kern w:val="0"/>
            </w:rPr>
            <w:t>6.2</w:t>
          </w:r>
          <w:r>
            <w:rPr>
              <w:rStyle w:val="42"/>
              <w:rFonts w:ascii="Times New Roman" w:hAnsi="Times New Roman" w:cs="Times New Roman"/>
            </w:rPr>
            <w:t xml:space="preserve"> 环境风险评估</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_Toc240989759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14:paraId="63CA003E">
          <w:r>
            <w:rPr>
              <w:szCs w:val="21"/>
            </w:rPr>
            <w:fldChar w:fldCharType="end"/>
          </w:r>
        </w:p>
      </w:sdtContent>
    </w:sdt>
    <w:p w14:paraId="6031551E"/>
    <w:p w14:paraId="09578D01">
      <w:pPr>
        <w:pStyle w:val="102"/>
        <w:ind w:left="640" w:hanging="640"/>
        <w:rPr>
          <w:rFonts w:ascii="Times New Roman"/>
          <w:szCs w:val="32"/>
        </w:rPr>
      </w:pPr>
      <w:bookmarkStart w:id="5" w:name="_Toc58272853"/>
      <w:bookmarkStart w:id="6" w:name="_Toc28121892"/>
      <w:bookmarkStart w:id="7" w:name="_Toc1252"/>
      <w:bookmarkStart w:id="8" w:name="_Toc240989740"/>
      <w:r>
        <w:rPr>
          <w:rFonts w:ascii="Times New Roman"/>
          <w:szCs w:val="32"/>
        </w:rPr>
        <w:t>前</w:t>
      </w:r>
      <w:bookmarkStart w:id="9" w:name="BKQY"/>
      <w:r>
        <w:rPr>
          <w:rFonts w:ascii="Times New Roman"/>
          <w:szCs w:val="32"/>
        </w:rPr>
        <w:t>  言</w:t>
      </w:r>
      <w:bookmarkEnd w:id="5"/>
      <w:bookmarkEnd w:id="6"/>
      <w:bookmarkEnd w:id="7"/>
      <w:bookmarkEnd w:id="8"/>
      <w:bookmarkEnd w:id="9"/>
    </w:p>
    <w:p w14:paraId="1B376F75">
      <w:pPr>
        <w:pStyle w:val="96"/>
        <w:rPr>
          <w:rFonts w:ascii="Times New Roman" w:hAnsi="Times New Roman" w:cs="Times New Roman"/>
        </w:rPr>
      </w:pPr>
      <w:r>
        <w:rPr>
          <w:rFonts w:ascii="Times New Roman" w:hAnsi="Times New Roman" w:cs="Times New Roman"/>
        </w:rPr>
        <w:t>本文件按照GB/T 1.1—2020《标准化工作导则第1部分：标准化文件的结构和起草规则》的规定起草。</w:t>
      </w:r>
    </w:p>
    <w:p w14:paraId="5ED898FC">
      <w:pPr>
        <w:pStyle w:val="96"/>
        <w:rPr>
          <w:rFonts w:ascii="Times New Roman" w:hAnsi="Times New Roman" w:cs="Times New Roman"/>
        </w:rPr>
      </w:pPr>
      <w:r>
        <w:rPr>
          <w:rFonts w:ascii="Times New Roman" w:hAnsi="Times New Roman" w:cs="Times New Roman"/>
        </w:rPr>
        <w:t>本文件由西藏自治区生态环境厅提出并归口。</w:t>
      </w:r>
    </w:p>
    <w:p w14:paraId="6D1588BB">
      <w:pPr>
        <w:pStyle w:val="96"/>
        <w:rPr>
          <w:rFonts w:ascii="Times New Roman" w:hAnsi="Times New Roman" w:cs="Times New Roman"/>
        </w:rPr>
      </w:pPr>
      <w:r>
        <w:rPr>
          <w:rFonts w:ascii="Times New Roman" w:hAnsi="Times New Roman" w:cs="Times New Roman"/>
        </w:rPr>
        <w:t>本文件主要起草单位：……。</w:t>
      </w:r>
    </w:p>
    <w:p w14:paraId="74630346">
      <w:pPr>
        <w:pStyle w:val="96"/>
        <w:rPr>
          <w:rFonts w:ascii="Times New Roman" w:hAnsi="Times New Roman" w:cs="Times New Roman"/>
        </w:rPr>
      </w:pPr>
      <w:r>
        <w:rPr>
          <w:rFonts w:ascii="Times New Roman" w:hAnsi="Times New Roman" w:cs="Times New Roman"/>
        </w:rPr>
        <w:t>本文件主要起草人：……。</w:t>
      </w:r>
    </w:p>
    <w:p w14:paraId="10EA79F7">
      <w:pPr>
        <w:pStyle w:val="96"/>
        <w:rPr>
          <w:rFonts w:ascii="Times New Roman" w:hAnsi="Times New Roman" w:cs="Times New Roman"/>
        </w:rPr>
      </w:pPr>
    </w:p>
    <w:p w14:paraId="54B85639">
      <w:pPr>
        <w:pStyle w:val="96"/>
        <w:rPr>
          <w:rFonts w:ascii="Times New Roman" w:hAnsi="Times New Roman" w:cs="Times New Roman"/>
        </w:rPr>
      </w:pPr>
    </w:p>
    <w:p w14:paraId="1DF5E063">
      <w:pPr>
        <w:pStyle w:val="96"/>
        <w:rPr>
          <w:rFonts w:ascii="Times New Roman" w:hAnsi="Times New Roman" w:cs="Times New Roman"/>
        </w:rPr>
      </w:pPr>
    </w:p>
    <w:p w14:paraId="6FCAF52E">
      <w:pPr>
        <w:pStyle w:val="96"/>
        <w:rPr>
          <w:rFonts w:ascii="Times New Roman" w:hAnsi="Times New Roman" w:cs="Times New Roman"/>
        </w:rPr>
      </w:pPr>
    </w:p>
    <w:p w14:paraId="7618FA58">
      <w:pPr>
        <w:pStyle w:val="96"/>
        <w:rPr>
          <w:rFonts w:ascii="Times New Roman" w:hAnsi="Times New Roman" w:cs="Times New Roman"/>
        </w:rPr>
      </w:pPr>
    </w:p>
    <w:p w14:paraId="5138265E">
      <w:pPr>
        <w:pStyle w:val="96"/>
        <w:rPr>
          <w:rFonts w:ascii="Times New Roman" w:hAnsi="Times New Roman" w:cs="Times New Roman"/>
        </w:rPr>
      </w:pPr>
    </w:p>
    <w:p w14:paraId="1464AE65">
      <w:pPr>
        <w:pStyle w:val="96"/>
        <w:rPr>
          <w:rFonts w:ascii="Times New Roman" w:hAnsi="Times New Roman" w:cs="Times New Roman"/>
        </w:rPr>
      </w:pPr>
    </w:p>
    <w:p w14:paraId="76C040BF">
      <w:pPr>
        <w:pStyle w:val="96"/>
        <w:rPr>
          <w:rFonts w:ascii="Times New Roman" w:hAnsi="Times New Roman" w:cs="Times New Roman"/>
        </w:rPr>
      </w:pPr>
    </w:p>
    <w:p w14:paraId="0F792D87">
      <w:pPr>
        <w:tabs>
          <w:tab w:val="left" w:pos="5460"/>
        </w:tabs>
        <w:ind w:left="420"/>
      </w:pPr>
      <w:r>
        <w:tab/>
      </w:r>
    </w:p>
    <w:p w14:paraId="6BFCA46C">
      <w:pPr>
        <w:pStyle w:val="99"/>
        <w:spacing w:line="240" w:lineRule="auto"/>
        <w:ind w:left="640" w:hanging="640"/>
        <w:rPr>
          <w:rFonts w:ascii="Times New Roman"/>
        </w:rPr>
      </w:pPr>
      <w:bookmarkStart w:id="10" w:name="_Toc231150965"/>
      <w:bookmarkStart w:id="11" w:name="_Toc24317"/>
      <w:bookmarkStart w:id="12" w:name="_Toc230725222"/>
      <w:bookmarkStart w:id="13" w:name="_Toc15176"/>
      <w:bookmarkStart w:id="14" w:name="_Toc240989741"/>
      <w:r>
        <w:rPr>
          <w:rFonts w:ascii="Times New Roman"/>
        </w:rPr>
        <w:t>小型生活垃圾焚烧处理设施环境风险防控技术规范</w:t>
      </w:r>
      <w:bookmarkEnd w:id="10"/>
      <w:bookmarkEnd w:id="11"/>
      <w:bookmarkEnd w:id="12"/>
      <w:bookmarkEnd w:id="13"/>
      <w:bookmarkEnd w:id="14"/>
    </w:p>
    <w:p w14:paraId="05DAB93E">
      <w:pPr>
        <w:pStyle w:val="101"/>
        <w:spacing w:before="312" w:after="312"/>
        <w:ind w:left="420" w:hanging="420"/>
        <w:outlineLvl w:val="0"/>
        <w:rPr>
          <w:rFonts w:ascii="Times New Roman"/>
        </w:rPr>
      </w:pPr>
      <w:bookmarkStart w:id="15" w:name="_Toc58272855"/>
      <w:bookmarkStart w:id="16" w:name="_Toc14535182"/>
      <w:bookmarkStart w:id="17" w:name="_Toc15252914"/>
      <w:bookmarkStart w:id="18" w:name="_Toc240989742"/>
      <w:bookmarkStart w:id="19" w:name="_Toc2005"/>
      <w:bookmarkStart w:id="20" w:name="_Toc28121894"/>
      <w:bookmarkStart w:id="21" w:name="_Toc28115264"/>
      <w:bookmarkStart w:id="22" w:name="_Toc14537109"/>
      <w:r>
        <w:rPr>
          <w:rFonts w:ascii="Times New Roman"/>
        </w:rPr>
        <w:t>适用范围</w:t>
      </w:r>
      <w:bookmarkEnd w:id="15"/>
      <w:bookmarkEnd w:id="16"/>
      <w:bookmarkEnd w:id="17"/>
      <w:bookmarkEnd w:id="18"/>
      <w:bookmarkEnd w:id="19"/>
      <w:bookmarkEnd w:id="20"/>
      <w:bookmarkEnd w:id="21"/>
      <w:bookmarkEnd w:id="22"/>
    </w:p>
    <w:p w14:paraId="1842E16D">
      <w:pPr>
        <w:pStyle w:val="96"/>
        <w:rPr>
          <w:rFonts w:ascii="Times New Roman" w:hAnsi="Times New Roman" w:cs="Times New Roman"/>
        </w:rPr>
      </w:pPr>
      <w:bookmarkStart w:id="23" w:name="_Hlk55852741"/>
      <w:r>
        <w:rPr>
          <w:rFonts w:hint="eastAsia" w:ascii="Times New Roman" w:hAnsi="Times New Roman" w:cs="Times New Roman"/>
        </w:rPr>
        <w:t>本文件规定了小型生活垃圾焚烧处理设施规划及建设阶段（规划及选址、环境保护手续、工艺设备、控制系统、高海拔环境耐受性能等）和运行阶段（投运前验收、焚烧炉运行、烟气净化、次生污染物处理等）环境风险防控的技术要求，以及环境风险监测和评估的技术要求。</w:t>
      </w:r>
    </w:p>
    <w:p w14:paraId="7DB26A8A">
      <w:pPr>
        <w:pStyle w:val="96"/>
        <w:rPr>
          <w:rFonts w:ascii="Times New Roman" w:hAnsi="Times New Roman" w:cs="Times New Roman"/>
        </w:rPr>
      </w:pPr>
      <w:r>
        <w:rPr>
          <w:rFonts w:hint="eastAsia" w:ascii="Times New Roman" w:hAnsi="Times New Roman" w:cs="Times New Roman"/>
        </w:rPr>
        <w:t>本文件适用于小型生活垃圾焚烧处理设施规划、建设、运行全生命周期环境风险防控。</w:t>
      </w:r>
    </w:p>
    <w:bookmarkEnd w:id="23"/>
    <w:p w14:paraId="2E5C456C">
      <w:pPr>
        <w:pStyle w:val="101"/>
        <w:spacing w:before="312" w:after="312"/>
        <w:ind w:left="420" w:hanging="420"/>
        <w:outlineLvl w:val="0"/>
        <w:rPr>
          <w:rFonts w:ascii="Times New Roman"/>
        </w:rPr>
      </w:pPr>
      <w:bookmarkStart w:id="24" w:name="_Toc58272856"/>
      <w:bookmarkStart w:id="25" w:name="_Toc15252915"/>
      <w:bookmarkStart w:id="26" w:name="_Toc14535183"/>
      <w:bookmarkStart w:id="27" w:name="_Toc28121895"/>
      <w:bookmarkStart w:id="28" w:name="_Toc14537110"/>
      <w:bookmarkStart w:id="29" w:name="_Toc240989743"/>
      <w:bookmarkStart w:id="30" w:name="_Toc5909"/>
      <w:bookmarkStart w:id="31" w:name="_Toc28115265"/>
      <w:r>
        <w:rPr>
          <w:rFonts w:ascii="Times New Roman"/>
        </w:rPr>
        <w:t>规范性引用文件</w:t>
      </w:r>
      <w:bookmarkEnd w:id="24"/>
      <w:bookmarkEnd w:id="25"/>
      <w:bookmarkEnd w:id="26"/>
      <w:bookmarkEnd w:id="27"/>
      <w:bookmarkEnd w:id="28"/>
      <w:bookmarkEnd w:id="29"/>
      <w:bookmarkEnd w:id="30"/>
      <w:bookmarkEnd w:id="31"/>
    </w:p>
    <w:p w14:paraId="786B72C7">
      <w:pPr>
        <w:pStyle w:val="96"/>
        <w:rPr>
          <w:rFonts w:ascii="Times New Roman" w:hAnsi="Times New Roman" w:cs="Times New Roman"/>
        </w:rPr>
      </w:pPr>
      <w:r>
        <w:rPr>
          <w:rFonts w:ascii="Times New Roman" w:hAnsi="Times New Roman" w:cs="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56FAF7D0">
      <w:pPr>
        <w:pStyle w:val="96"/>
        <w:rPr>
          <w:rFonts w:ascii="Times New Roman" w:eastAsia="宋体" w:cs="Times New Roman"/>
        </w:rPr>
      </w:pPr>
      <w:bookmarkStart w:id="32" w:name="_Toc14535184"/>
      <w:bookmarkEnd w:id="32"/>
      <w:bookmarkStart w:id="33" w:name="_Toc523931518"/>
      <w:bookmarkStart w:id="34" w:name="_Toc509778583"/>
      <w:bookmarkStart w:id="35" w:name="_Toc14451279"/>
      <w:bookmarkStart w:id="36" w:name="_Toc509778502"/>
      <w:bookmarkStart w:id="37" w:name="_Toc523931601"/>
      <w:bookmarkStart w:id="38" w:name="_Toc14537111"/>
      <w:bookmarkStart w:id="39" w:name="_Toc15252916"/>
      <w:bookmarkStart w:id="40" w:name="_Toc28121896"/>
      <w:bookmarkStart w:id="41" w:name="_Toc471887487"/>
      <w:bookmarkStart w:id="42" w:name="_Toc28115266"/>
      <w:r>
        <w:rPr>
          <w:rFonts w:ascii="Times New Roman" w:hAnsi="Times New Roman" w:eastAsia="宋体" w:cs="Times New Roman"/>
        </w:rPr>
        <w:t xml:space="preserve">GB 15562.1  </w:t>
      </w:r>
      <w:r>
        <w:rPr>
          <w:rFonts w:ascii="Times New Roman" w:eastAsia="宋体" w:cs="Times New Roman"/>
        </w:rPr>
        <w:t>环境保护图形标志</w:t>
      </w:r>
      <w:r>
        <w:rPr>
          <w:rFonts w:ascii="Times New Roman" w:hAnsi="Times New Roman" w:eastAsia="宋体" w:cs="Times New Roman"/>
        </w:rPr>
        <w:t>——</w:t>
      </w:r>
      <w:r>
        <w:rPr>
          <w:rFonts w:ascii="Times New Roman" w:eastAsia="宋体" w:cs="Times New Roman"/>
        </w:rPr>
        <w:t>排放口（源）</w:t>
      </w:r>
    </w:p>
    <w:p w14:paraId="4696AF71">
      <w:pPr>
        <w:pStyle w:val="96"/>
        <w:rPr>
          <w:rFonts w:ascii="Times New Roman" w:hAnsi="Times New Roman" w:eastAsia="宋体" w:cs="Times New Roman"/>
        </w:rPr>
      </w:pPr>
      <w:r>
        <w:rPr>
          <w:rFonts w:ascii="Times New Roman" w:hAnsi="Times New Roman"/>
        </w:rPr>
        <w:t>GB 16297</w:t>
      </w:r>
      <w:r>
        <w:rPr>
          <w:rFonts w:hint="eastAsia" w:ascii="Times New Roman" w:hAnsi="Times New Roman"/>
        </w:rPr>
        <w:t xml:space="preserve">  </w:t>
      </w:r>
      <w:r>
        <w:rPr>
          <w:rFonts w:ascii="Times New Roman"/>
        </w:rPr>
        <w:t>大气污染物综合排放标准</w:t>
      </w:r>
    </w:p>
    <w:p w14:paraId="1636F093">
      <w:pPr>
        <w:pStyle w:val="96"/>
        <w:rPr>
          <w:rFonts w:ascii="Times New Roman" w:hAnsi="Times New Roman" w:eastAsia="宋体" w:cs="Times New Roman"/>
        </w:rPr>
      </w:pPr>
      <w:r>
        <w:rPr>
          <w:rFonts w:ascii="Times New Roman" w:hAnsi="Times New Roman" w:eastAsia="宋体" w:cs="Times New Roman"/>
        </w:rPr>
        <w:t xml:space="preserve">GB 16889  </w:t>
      </w:r>
      <w:r>
        <w:rPr>
          <w:rFonts w:ascii="Times New Roman" w:eastAsia="宋体" w:cs="Times New Roman"/>
        </w:rPr>
        <w:t>生活垃圾填埋污染控制标准</w:t>
      </w:r>
    </w:p>
    <w:p w14:paraId="3B280EAB">
      <w:pPr>
        <w:pStyle w:val="96"/>
        <w:rPr>
          <w:rFonts w:ascii="Times New Roman" w:eastAsia="宋体" w:cs="Times New Roman"/>
        </w:rPr>
      </w:pPr>
      <w:r>
        <w:rPr>
          <w:rFonts w:ascii="Times New Roman" w:hAnsi="Times New Roman" w:eastAsia="宋体" w:cs="Times New Roman"/>
        </w:rPr>
        <w:t xml:space="preserve">GB 18485  </w:t>
      </w:r>
      <w:r>
        <w:rPr>
          <w:rFonts w:ascii="Times New Roman" w:eastAsia="宋体" w:cs="Times New Roman"/>
        </w:rPr>
        <w:t>生活垃圾焚烧污染控制标准</w:t>
      </w:r>
    </w:p>
    <w:p w14:paraId="06A6E066">
      <w:pPr>
        <w:pStyle w:val="96"/>
        <w:rPr>
          <w:rFonts w:ascii="Times New Roman" w:eastAsia="宋体" w:cs="Times New Roman"/>
        </w:rPr>
      </w:pPr>
      <w:r>
        <w:rPr>
          <w:rFonts w:ascii="Times New Roman" w:hAnsi="Times New Roman" w:eastAsia="宋体" w:cs="Times New Roman"/>
        </w:rPr>
        <w:t xml:space="preserve">GB/T 18570  </w:t>
      </w:r>
      <w:r>
        <w:rPr>
          <w:rFonts w:ascii="Times New Roman" w:eastAsia="宋体" w:cs="Times New Roman"/>
        </w:rPr>
        <w:t>生活垃圾焚烧炉及余热锅炉</w:t>
      </w:r>
    </w:p>
    <w:p w14:paraId="1E9552AA">
      <w:pPr>
        <w:pStyle w:val="96"/>
        <w:rPr>
          <w:rFonts w:ascii="Times New Roman" w:hAnsi="Times New Roman" w:eastAsia="宋体" w:cs="Times New Roman"/>
        </w:rPr>
      </w:pPr>
      <w:r>
        <w:rPr>
          <w:rFonts w:ascii="Times New Roman" w:hAnsi="Times New Roman" w:eastAsia="宋体" w:cs="Times New Roman"/>
        </w:rPr>
        <w:t>GB/T 20626</w:t>
      </w:r>
      <w:r>
        <w:rPr>
          <w:rFonts w:ascii="Times New Roman" w:eastAsia="宋体" w:cs="Times New Roman"/>
        </w:rPr>
        <w:t>（所有部分）</w:t>
      </w:r>
      <w:r>
        <w:rPr>
          <w:rFonts w:ascii="Times New Roman" w:hAnsi="Times New Roman" w:eastAsia="宋体" w:cs="Times New Roman"/>
        </w:rPr>
        <w:t xml:space="preserve">  </w:t>
      </w:r>
      <w:r>
        <w:rPr>
          <w:rFonts w:ascii="Times New Roman" w:eastAsia="宋体" w:cs="Times New Roman"/>
        </w:rPr>
        <w:t>特殊环境条件</w:t>
      </w:r>
      <w:r>
        <w:rPr>
          <w:rFonts w:ascii="Times New Roman" w:hAnsi="Times New Roman" w:eastAsia="宋体" w:cs="Times New Roman"/>
        </w:rPr>
        <w:t xml:space="preserve">  </w:t>
      </w:r>
      <w:r>
        <w:rPr>
          <w:rFonts w:ascii="Times New Roman" w:eastAsia="宋体" w:cs="Times New Roman"/>
        </w:rPr>
        <w:t>高原电工电子产品</w:t>
      </w:r>
    </w:p>
    <w:p w14:paraId="4C67DA95">
      <w:pPr>
        <w:pStyle w:val="96"/>
        <w:rPr>
          <w:rFonts w:ascii="Times New Roman" w:hAnsi="Times New Roman" w:eastAsia="宋体" w:cs="Times New Roman"/>
        </w:rPr>
      </w:pPr>
      <w:r>
        <w:rPr>
          <w:rFonts w:ascii="Times New Roman" w:hAnsi="Times New Roman" w:eastAsia="宋体" w:cs="Times New Roman"/>
        </w:rPr>
        <w:t xml:space="preserve">GB 50016  </w:t>
      </w:r>
      <w:r>
        <w:rPr>
          <w:rFonts w:ascii="Times New Roman" w:eastAsia="宋体" w:cs="Times New Roman"/>
        </w:rPr>
        <w:t>建筑设计防火规范</w:t>
      </w:r>
    </w:p>
    <w:p w14:paraId="4C45CA3D">
      <w:pPr>
        <w:pStyle w:val="96"/>
        <w:rPr>
          <w:rFonts w:ascii="Times New Roman" w:hAnsi="Times New Roman" w:eastAsia="宋体" w:cs="Times New Roman"/>
        </w:rPr>
      </w:pPr>
      <w:r>
        <w:rPr>
          <w:rFonts w:ascii="Times New Roman" w:hAnsi="Times New Roman" w:eastAsia="宋体" w:cs="Times New Roman"/>
        </w:rPr>
        <w:t xml:space="preserve">GB 50057  </w:t>
      </w:r>
      <w:r>
        <w:rPr>
          <w:rFonts w:ascii="Times New Roman" w:eastAsia="宋体" w:cs="Times New Roman"/>
        </w:rPr>
        <w:t>建筑物防雷设计规范</w:t>
      </w:r>
    </w:p>
    <w:p w14:paraId="742E8721">
      <w:pPr>
        <w:pStyle w:val="96"/>
        <w:rPr>
          <w:rFonts w:ascii="Times New Roman" w:eastAsia="宋体" w:cs="Times New Roman"/>
        </w:rPr>
      </w:pPr>
      <w:r>
        <w:rPr>
          <w:rFonts w:ascii="Times New Roman" w:hAnsi="Times New Roman" w:eastAsia="宋体" w:cs="Times New Roman"/>
        </w:rPr>
        <w:t xml:space="preserve">HJ 1405  </w:t>
      </w:r>
      <w:r>
        <w:rPr>
          <w:rFonts w:ascii="Times New Roman" w:eastAsia="宋体" w:cs="Times New Roman"/>
        </w:rPr>
        <w:t>排污单位污染物排放口监测点位设置技术规范</w:t>
      </w:r>
    </w:p>
    <w:p w14:paraId="754C9B58">
      <w:pPr>
        <w:pStyle w:val="96"/>
        <w:rPr>
          <w:rFonts w:ascii="Times New Roman" w:hAnsi="Times New Roman" w:eastAsia="宋体" w:cs="Times New Roman"/>
        </w:rPr>
      </w:pPr>
      <w:r>
        <w:rPr>
          <w:rFonts w:hint="eastAsia" w:ascii="Times New Roman" w:hAnsi="Times New Roman" w:eastAsia="宋体" w:cs="Times New Roman"/>
        </w:rPr>
        <w:t>HJ 2012  垃圾焚烧袋式除尘工程技术规范</w:t>
      </w:r>
    </w:p>
    <w:p w14:paraId="7613010A">
      <w:pPr>
        <w:pStyle w:val="96"/>
        <w:rPr>
          <w:rFonts w:ascii="Times New Roman" w:hAnsi="Times New Roman" w:eastAsia="宋体" w:cs="Times New Roman"/>
        </w:rPr>
      </w:pPr>
      <w:r>
        <w:rPr>
          <w:rFonts w:hint="eastAsia" w:ascii="Times New Roman" w:hAnsi="Times New Roman" w:eastAsia="宋体" w:cs="Times New Roman"/>
        </w:rPr>
        <w:t>HJ 2039  火电厂除尘工程技术规范</w:t>
      </w:r>
    </w:p>
    <w:p w14:paraId="70123FFD">
      <w:pPr>
        <w:pStyle w:val="101"/>
        <w:spacing w:before="312" w:after="312"/>
        <w:ind w:left="420" w:hanging="420"/>
        <w:outlineLvl w:val="0"/>
        <w:rPr>
          <w:rFonts w:ascii="Times New Roman"/>
          <w:szCs w:val="21"/>
        </w:rPr>
      </w:pPr>
      <w:bookmarkStart w:id="43" w:name="_Toc240989744"/>
      <w:bookmarkStart w:id="44" w:name="_Toc58272857"/>
      <w:bookmarkStart w:id="45" w:name="_Toc32361"/>
      <w:r>
        <w:rPr>
          <w:rFonts w:ascii="Times New Roman"/>
          <w:szCs w:val="21"/>
        </w:rPr>
        <w:t>术语和定义</w:t>
      </w:r>
      <w:bookmarkEnd w:id="33"/>
      <w:bookmarkEnd w:id="34"/>
      <w:bookmarkEnd w:id="35"/>
      <w:bookmarkEnd w:id="36"/>
      <w:bookmarkEnd w:id="37"/>
      <w:bookmarkEnd w:id="38"/>
      <w:bookmarkEnd w:id="39"/>
      <w:bookmarkEnd w:id="40"/>
      <w:bookmarkEnd w:id="41"/>
      <w:bookmarkEnd w:id="42"/>
      <w:bookmarkEnd w:id="43"/>
      <w:bookmarkEnd w:id="44"/>
      <w:bookmarkEnd w:id="45"/>
    </w:p>
    <w:p w14:paraId="095CC291">
      <w:pPr>
        <w:pStyle w:val="96"/>
        <w:rPr>
          <w:rFonts w:ascii="Times New Roman" w:hAnsi="Times New Roman" w:eastAsia="宋体" w:cs="Times New Roman"/>
        </w:rPr>
      </w:pPr>
      <w:r>
        <w:rPr>
          <w:rFonts w:ascii="Times New Roman" w:hAnsi="Times New Roman" w:eastAsia="宋体" w:cs="Times New Roman"/>
        </w:rPr>
        <w:t>GB 18485</w:t>
      </w:r>
      <w:r>
        <w:rPr>
          <w:rFonts w:ascii="Times New Roman" w:eastAsia="宋体" w:cs="Times New Roman"/>
        </w:rPr>
        <w:t>界定的以及下列术语和定义适用于本文件。</w:t>
      </w:r>
    </w:p>
    <w:p w14:paraId="32BA2ACB">
      <w:pPr>
        <w:pStyle w:val="98"/>
        <w:spacing w:before="156" w:after="156"/>
        <w:ind w:left="420" w:hanging="420"/>
        <w:outlineLvl w:val="9"/>
        <w:rPr>
          <w:rFonts w:ascii="Times New Roman" w:hAnsi="Times New Roman" w:cs="Times New Roman"/>
        </w:rPr>
      </w:pPr>
      <w:bookmarkStart w:id="46" w:name="_Toc15252917"/>
      <w:bookmarkEnd w:id="46"/>
      <w:bookmarkStart w:id="47" w:name="_Toc55888843"/>
      <w:bookmarkEnd w:id="47"/>
      <w:bookmarkStart w:id="48" w:name="_Toc43913937"/>
      <w:bookmarkEnd w:id="48"/>
      <w:bookmarkStart w:id="49" w:name="_Toc57303051"/>
      <w:bookmarkEnd w:id="49"/>
      <w:bookmarkStart w:id="50" w:name="_Toc28115267"/>
      <w:bookmarkEnd w:id="50"/>
      <w:bookmarkStart w:id="51" w:name="_Toc56610215"/>
      <w:bookmarkEnd w:id="51"/>
      <w:bookmarkStart w:id="52" w:name="_Toc58272858"/>
      <w:bookmarkEnd w:id="52"/>
      <w:bookmarkStart w:id="53" w:name="_Toc28121897"/>
      <w:bookmarkEnd w:id="53"/>
      <w:bookmarkStart w:id="54" w:name="_Toc57560077"/>
      <w:bookmarkEnd w:id="54"/>
      <w:bookmarkStart w:id="55" w:name="_Toc56086828"/>
      <w:bookmarkEnd w:id="55"/>
      <w:bookmarkStart w:id="56" w:name="_Toc14537112"/>
      <w:bookmarkEnd w:id="56"/>
    </w:p>
    <w:p w14:paraId="66EB6B95">
      <w:pPr>
        <w:pStyle w:val="104"/>
        <w:spacing w:before="156" w:after="156" w:line="240" w:lineRule="auto"/>
        <w:ind w:firstLine="420"/>
        <w:rPr>
          <w:rFonts w:ascii="Times New Roman" w:hAnsi="Times New Roman"/>
        </w:rPr>
      </w:pPr>
      <w:r>
        <w:rPr>
          <w:rFonts w:ascii="Times New Roman"/>
        </w:rPr>
        <w:t>小型</w:t>
      </w:r>
      <w:r>
        <w:rPr>
          <w:rFonts w:hint="eastAsia" w:ascii="Times New Roman"/>
        </w:rPr>
        <w:t>生活垃圾</w:t>
      </w:r>
      <w:r>
        <w:rPr>
          <w:rFonts w:ascii="Times New Roman"/>
        </w:rPr>
        <w:t>焚烧</w:t>
      </w:r>
      <w:r>
        <w:rPr>
          <w:rFonts w:hint="eastAsia" w:ascii="Times New Roman"/>
        </w:rPr>
        <w:t>处理</w:t>
      </w:r>
      <w:r>
        <w:rPr>
          <w:rFonts w:ascii="Times New Roman"/>
        </w:rPr>
        <w:t>设施</w:t>
      </w:r>
      <w:r>
        <w:rPr>
          <w:rFonts w:ascii="Times New Roman" w:hAnsi="Times New Roman"/>
        </w:rPr>
        <w:t xml:space="preserve">  small-scale incineration facility</w:t>
      </w:r>
    </w:p>
    <w:p w14:paraId="4BB83EB8">
      <w:pPr>
        <w:pStyle w:val="96"/>
        <w:rPr>
          <w:rFonts w:ascii="Times New Roman" w:hAnsi="Times New Roman" w:eastAsia="宋体" w:cs="Times New Roman"/>
        </w:rPr>
      </w:pPr>
      <w:r>
        <w:rPr>
          <w:rFonts w:hint="eastAsia" w:ascii="Times New Roman" w:eastAsia="宋体" w:cs="Times New Roman"/>
        </w:rPr>
        <w:t>采用</w:t>
      </w:r>
      <w:r>
        <w:rPr>
          <w:rFonts w:ascii="Times New Roman" w:eastAsia="宋体" w:cs="Times New Roman"/>
        </w:rPr>
        <w:t>单炉焚烧能力小于</w:t>
      </w:r>
      <w:r>
        <w:rPr>
          <w:rFonts w:hint="eastAsia" w:ascii="Times New Roman" w:hAnsi="Times New Roman" w:eastAsia="宋体" w:cs="Times New Roman"/>
        </w:rPr>
        <w:t>10</w:t>
      </w:r>
      <w:r>
        <w:rPr>
          <w:rFonts w:ascii="Times New Roman" w:hAnsi="Times New Roman" w:eastAsia="宋体" w:cs="Times New Roman"/>
        </w:rPr>
        <w:t>0 t/d</w:t>
      </w:r>
      <w:r>
        <w:rPr>
          <w:rFonts w:ascii="Times New Roman" w:eastAsia="宋体" w:cs="Times New Roman"/>
        </w:rPr>
        <w:t>的生活垃圾焚烧炉</w:t>
      </w:r>
      <w:r>
        <w:rPr>
          <w:rFonts w:hint="eastAsia" w:ascii="Times New Roman" w:eastAsia="宋体" w:cs="Times New Roman"/>
        </w:rPr>
        <w:t>作为</w:t>
      </w:r>
      <w:r>
        <w:rPr>
          <w:rFonts w:ascii="Times New Roman" w:eastAsia="宋体" w:cs="Times New Roman"/>
        </w:rPr>
        <w:t>主体设备的生活垃圾处理设施。</w:t>
      </w:r>
      <w:r>
        <w:rPr>
          <w:rFonts w:hint="eastAsia" w:ascii="Times New Roman" w:eastAsia="宋体" w:cs="Times New Roman"/>
        </w:rPr>
        <w:t>本文件中简称为“小型焚烧设施”。</w:t>
      </w:r>
    </w:p>
    <w:p w14:paraId="6AEC65D1">
      <w:pPr>
        <w:pStyle w:val="98"/>
        <w:spacing w:before="156" w:after="156"/>
        <w:ind w:left="420" w:hanging="420"/>
        <w:outlineLvl w:val="9"/>
        <w:rPr>
          <w:rFonts w:ascii="Times New Roman" w:hAnsi="Times New Roman" w:cs="Times New Roman"/>
        </w:rPr>
      </w:pPr>
    </w:p>
    <w:p w14:paraId="53AF9A02">
      <w:pPr>
        <w:pStyle w:val="104"/>
        <w:spacing w:before="156" w:after="156" w:line="240" w:lineRule="auto"/>
        <w:ind w:firstLine="420"/>
        <w:rPr>
          <w:rFonts w:ascii="Times New Roman" w:hAnsi="Times New Roman"/>
        </w:rPr>
      </w:pPr>
      <w:r>
        <w:rPr>
          <w:rFonts w:ascii="Times New Roman"/>
        </w:rPr>
        <w:t>机械炉排焚烧炉</w:t>
      </w:r>
      <w:r>
        <w:rPr>
          <w:rFonts w:ascii="Times New Roman" w:hAnsi="Times New Roman"/>
        </w:rPr>
        <w:t xml:space="preserve">  mechanical grate incinerator</w:t>
      </w:r>
    </w:p>
    <w:p w14:paraId="0B8DA41F">
      <w:pPr>
        <w:pStyle w:val="96"/>
        <w:rPr>
          <w:rFonts w:ascii="Times New Roman" w:hAnsi="Times New Roman" w:cs="Times New Roman"/>
        </w:rPr>
      </w:pPr>
      <w:r>
        <w:rPr>
          <w:rFonts w:ascii="Times New Roman" w:hAnsi="Times New Roman" w:cs="Times New Roman"/>
        </w:rPr>
        <w:t>炉床使用机械炉排，依靠机械炉排的往复运动在水平轴线上推动生活垃圾，使其依次完成干燥、热解和气化、燃烧、燃烬全过程的生活垃圾焚烧炉。</w:t>
      </w:r>
    </w:p>
    <w:p w14:paraId="5CD9E1E2">
      <w:pPr>
        <w:pStyle w:val="98"/>
        <w:spacing w:before="156" w:after="156"/>
        <w:ind w:left="420" w:hanging="420"/>
        <w:outlineLvl w:val="9"/>
        <w:rPr>
          <w:rFonts w:ascii="Times New Roman" w:hAnsi="Times New Roman" w:cs="Times New Roman"/>
        </w:rPr>
      </w:pPr>
    </w:p>
    <w:p w14:paraId="503C4AA4">
      <w:pPr>
        <w:pStyle w:val="104"/>
        <w:spacing w:before="156" w:after="156" w:line="240" w:lineRule="auto"/>
        <w:ind w:firstLine="420"/>
        <w:rPr>
          <w:rFonts w:ascii="Times New Roman" w:hAnsi="Times New Roman"/>
        </w:rPr>
      </w:pPr>
      <w:r>
        <w:rPr>
          <w:rFonts w:ascii="Times New Roman"/>
        </w:rPr>
        <w:t>固定床焚烧炉</w:t>
      </w:r>
      <w:r>
        <w:rPr>
          <w:rFonts w:ascii="Times New Roman" w:hAnsi="Times New Roman"/>
        </w:rPr>
        <w:t xml:space="preserve">  fixed-bed incinerator</w:t>
      </w:r>
    </w:p>
    <w:p w14:paraId="00E3C623">
      <w:pPr>
        <w:pStyle w:val="96"/>
        <w:rPr>
          <w:rFonts w:ascii="Times New Roman" w:hAnsi="Times New Roman" w:cs="Times New Roman"/>
        </w:rPr>
      </w:pPr>
      <w:r>
        <w:rPr>
          <w:rFonts w:ascii="Times New Roman" w:hAnsi="Times New Roman" w:cs="Times New Roman"/>
        </w:rPr>
        <w:t>炉床在水平轴线上基本固定不动，生活垃圾依靠重力在竖直轴线上依次完成干燥、热解和气化、燃烧、燃烬全过程或部分过程的生活垃圾焚烧炉。</w:t>
      </w:r>
    </w:p>
    <w:p w14:paraId="16FD86C2">
      <w:pPr>
        <w:pStyle w:val="98"/>
        <w:spacing w:before="156" w:after="156"/>
        <w:ind w:left="420" w:hanging="420"/>
        <w:outlineLvl w:val="9"/>
        <w:rPr>
          <w:rFonts w:ascii="Times New Roman" w:hAnsi="Times New Roman" w:cs="Times New Roman"/>
        </w:rPr>
      </w:pPr>
    </w:p>
    <w:p w14:paraId="4D6DE45B">
      <w:pPr>
        <w:pStyle w:val="104"/>
        <w:spacing w:before="156" w:after="156" w:line="240" w:lineRule="auto"/>
        <w:ind w:firstLine="420"/>
        <w:rPr>
          <w:rFonts w:ascii="Times New Roman" w:hAnsi="Times New Roman"/>
        </w:rPr>
      </w:pPr>
      <w:r>
        <w:rPr>
          <w:rFonts w:ascii="Times New Roman"/>
        </w:rPr>
        <w:t>固定床</w:t>
      </w:r>
      <w:r>
        <w:rPr>
          <w:rFonts w:ascii="Times New Roman" w:hAnsi="Times New Roman"/>
        </w:rPr>
        <w:t>-</w:t>
      </w:r>
      <w:r>
        <w:rPr>
          <w:rFonts w:ascii="Times New Roman"/>
        </w:rPr>
        <w:t>机械炉排复合式焚烧炉</w:t>
      </w:r>
      <w:r>
        <w:rPr>
          <w:rFonts w:ascii="Times New Roman" w:hAnsi="Times New Roman"/>
        </w:rPr>
        <w:t xml:space="preserve">  fixed-bed &amp; mechanical grate combined incinerator</w:t>
      </w:r>
    </w:p>
    <w:p w14:paraId="018A585D">
      <w:pPr>
        <w:pStyle w:val="96"/>
        <w:rPr>
          <w:rFonts w:ascii="Times New Roman" w:hAnsi="Times New Roman" w:cs="Times New Roman"/>
        </w:rPr>
      </w:pPr>
      <w:r>
        <w:rPr>
          <w:rFonts w:ascii="Times New Roman" w:hAnsi="Times New Roman" w:cs="Times New Roman"/>
        </w:rPr>
        <w:t>兼具固定床与机械炉排结构，生活垃圾先在固定床区的竖直轴线上完成干燥、热解和气化等部分过程，再由机械炉排沿水平轴线推动完成燃烧、燃烬等剩余过程的生活垃圾焚烧炉。</w:t>
      </w:r>
    </w:p>
    <w:p w14:paraId="3C9DFF59">
      <w:pPr>
        <w:pStyle w:val="98"/>
        <w:spacing w:before="156" w:after="156"/>
        <w:outlineLvl w:val="9"/>
        <w:rPr>
          <w:rFonts w:ascii="Times New Roman" w:hAnsi="Times New Roman" w:cs="Times New Roman"/>
        </w:rPr>
      </w:pPr>
    </w:p>
    <w:p w14:paraId="36F5EFAF">
      <w:pPr>
        <w:pStyle w:val="104"/>
        <w:spacing w:before="156" w:after="156" w:line="240" w:lineRule="auto"/>
        <w:ind w:firstLine="420"/>
        <w:rPr>
          <w:rFonts w:ascii="Times New Roman" w:hAnsi="Times New Roman"/>
        </w:rPr>
      </w:pPr>
      <w:r>
        <w:rPr>
          <w:rFonts w:ascii="Times New Roman"/>
        </w:rPr>
        <w:t>高海拔环境</w:t>
      </w:r>
      <w:r>
        <w:rPr>
          <w:rFonts w:ascii="Times New Roman" w:hAnsi="Times New Roman"/>
        </w:rPr>
        <w:t xml:space="preserve">  </w:t>
      </w:r>
      <w:bookmarkStart w:id="57" w:name="_Hlk227521442"/>
      <w:r>
        <w:rPr>
          <w:rFonts w:ascii="Times New Roman" w:hAnsi="Times New Roman"/>
        </w:rPr>
        <w:t>high-altitude environment</w:t>
      </w:r>
      <w:bookmarkEnd w:id="57"/>
    </w:p>
    <w:p w14:paraId="65D25439">
      <w:pPr>
        <w:pStyle w:val="96"/>
        <w:rPr>
          <w:rFonts w:ascii="Times New Roman" w:hAnsi="Times New Roman" w:eastAsia="宋体" w:cs="Times New Roman"/>
        </w:rPr>
      </w:pPr>
      <w:r>
        <w:rPr>
          <w:rFonts w:ascii="Times New Roman" w:eastAsia="宋体" w:cs="Times New Roman"/>
        </w:rPr>
        <w:t>海拔高度大于等于</w:t>
      </w:r>
      <w:r>
        <w:rPr>
          <w:rFonts w:ascii="Times New Roman" w:hAnsi="Times New Roman" w:eastAsia="宋体" w:cs="Times New Roman"/>
        </w:rPr>
        <w:t>2500 m</w:t>
      </w:r>
      <w:r>
        <w:rPr>
          <w:rFonts w:ascii="Times New Roman" w:eastAsia="宋体" w:cs="Times New Roman"/>
        </w:rPr>
        <w:t>，空气氧分压小于等于</w:t>
      </w:r>
      <w:r>
        <w:rPr>
          <w:rFonts w:ascii="Times New Roman" w:hAnsi="Times New Roman" w:eastAsia="宋体" w:cs="Times New Roman"/>
        </w:rPr>
        <w:t>15.6 kPa</w:t>
      </w:r>
      <w:r>
        <w:rPr>
          <w:rFonts w:ascii="Times New Roman" w:eastAsia="宋体" w:cs="Times New Roman"/>
        </w:rPr>
        <w:t>，等效氧含量小于等于</w:t>
      </w:r>
      <w:r>
        <w:rPr>
          <w:rFonts w:ascii="Times New Roman" w:hAnsi="Times New Roman" w:eastAsia="宋体" w:cs="Times New Roman"/>
        </w:rPr>
        <w:t>74%</w:t>
      </w:r>
      <w:r>
        <w:rPr>
          <w:rFonts w:ascii="Times New Roman" w:eastAsia="宋体" w:cs="Times New Roman"/>
        </w:rPr>
        <w:t>，人体易出现明显高原反应，燃烧类设备易出现燃烧不充分，风机等流体机械易出现效率下降、能耗上升，电气类设备易出现绝缘性能下降、散热</w:t>
      </w:r>
      <w:r>
        <w:rPr>
          <w:rFonts w:hint="eastAsia" w:ascii="Times New Roman" w:eastAsia="宋体" w:cs="Times New Roman"/>
        </w:rPr>
        <w:t>不佳</w:t>
      </w:r>
      <w:r>
        <w:rPr>
          <w:rFonts w:ascii="Times New Roman" w:eastAsia="宋体" w:cs="Times New Roman"/>
        </w:rPr>
        <w:t>等不良反应的环境条件。</w:t>
      </w:r>
    </w:p>
    <w:p w14:paraId="3B319271">
      <w:pPr>
        <w:pStyle w:val="98"/>
        <w:spacing w:before="156" w:after="156"/>
        <w:outlineLvl w:val="9"/>
        <w:rPr>
          <w:rFonts w:ascii="Times New Roman" w:hAnsi="Times New Roman" w:cs="Times New Roman"/>
        </w:rPr>
      </w:pPr>
    </w:p>
    <w:p w14:paraId="58384EA6">
      <w:pPr>
        <w:pStyle w:val="104"/>
        <w:spacing w:before="156" w:after="156" w:line="240" w:lineRule="auto"/>
        <w:ind w:firstLine="420"/>
        <w:rPr>
          <w:rFonts w:ascii="Times New Roman" w:hAnsi="Times New Roman"/>
        </w:rPr>
      </w:pPr>
      <w:r>
        <w:rPr>
          <w:rFonts w:ascii="Times New Roman"/>
        </w:rPr>
        <w:t>一次燃烧室</w:t>
      </w:r>
      <w:r>
        <w:rPr>
          <w:rFonts w:ascii="Times New Roman" w:hAnsi="Times New Roman"/>
        </w:rPr>
        <w:t xml:space="preserve">  primary combustion chamber</w:t>
      </w:r>
    </w:p>
    <w:p w14:paraId="3538BDEE">
      <w:pPr>
        <w:pStyle w:val="96"/>
        <w:rPr>
          <w:rFonts w:ascii="Times New Roman" w:hAnsi="Times New Roman" w:cs="Times New Roman"/>
        </w:rPr>
      </w:pPr>
      <w:r>
        <w:rPr>
          <w:rFonts w:ascii="Times New Roman" w:hAnsi="Times New Roman" w:cs="Times New Roman"/>
        </w:rPr>
        <w:t>焚烧炉中接收固体物料，通入一次空气，完成固体物料干燥、热解、气化乃至初步燃烧，产出热解气化气、未完全燃烧烟气等可燃组分的焚烧炉主腔体。</w:t>
      </w:r>
    </w:p>
    <w:p w14:paraId="39037ADC">
      <w:pPr>
        <w:pStyle w:val="98"/>
        <w:spacing w:before="156" w:after="156"/>
        <w:outlineLvl w:val="9"/>
        <w:rPr>
          <w:rFonts w:ascii="Times New Roman" w:hAnsi="Times New Roman" w:cs="Times New Roman"/>
        </w:rPr>
      </w:pPr>
    </w:p>
    <w:p w14:paraId="2AF0F6EE">
      <w:pPr>
        <w:pStyle w:val="104"/>
        <w:spacing w:before="156" w:after="156" w:line="240" w:lineRule="auto"/>
        <w:ind w:firstLine="420"/>
        <w:rPr>
          <w:rFonts w:ascii="Times New Roman" w:hAnsi="Times New Roman"/>
        </w:rPr>
      </w:pPr>
      <w:r>
        <w:rPr>
          <w:rFonts w:ascii="Times New Roman"/>
        </w:rPr>
        <w:t>二次燃烧室</w:t>
      </w:r>
      <w:r>
        <w:rPr>
          <w:rFonts w:ascii="Times New Roman" w:hAnsi="Times New Roman"/>
        </w:rPr>
        <w:t xml:space="preserve">  secondary combustion chamber</w:t>
      </w:r>
    </w:p>
    <w:p w14:paraId="2A9EA64E">
      <w:pPr>
        <w:pStyle w:val="96"/>
        <w:rPr>
          <w:rFonts w:ascii="Times New Roman" w:hAnsi="Times New Roman" w:cs="Times New Roman"/>
        </w:rPr>
      </w:pPr>
      <w:r>
        <w:rPr>
          <w:rFonts w:ascii="Times New Roman" w:hAnsi="Times New Roman" w:cs="Times New Roman"/>
        </w:rPr>
        <w:t>焚烧炉中接收来自一次燃烧室产生的热解气化气、未完全燃烧烟气等可燃组分，通过补充二次空气与辅助燃烧，使各类可燃组分及有害物质进一步氧化分解的专用燃烧空间。</w:t>
      </w:r>
    </w:p>
    <w:p w14:paraId="2D57D78B">
      <w:pPr>
        <w:pStyle w:val="101"/>
        <w:spacing w:before="312" w:after="312"/>
        <w:outlineLvl w:val="0"/>
        <w:rPr>
          <w:rFonts w:ascii="Times New Roman"/>
        </w:rPr>
      </w:pPr>
      <w:bookmarkStart w:id="58" w:name="_Toc57303055"/>
      <w:bookmarkEnd w:id="58"/>
      <w:bookmarkStart w:id="59" w:name="_Toc58272862"/>
      <w:bookmarkEnd w:id="59"/>
      <w:bookmarkStart w:id="60" w:name="_Toc56610218"/>
      <w:bookmarkEnd w:id="60"/>
      <w:bookmarkStart w:id="61" w:name="_Toc55584490"/>
      <w:bookmarkEnd w:id="61"/>
      <w:bookmarkStart w:id="62" w:name="_Toc55851297"/>
      <w:bookmarkEnd w:id="62"/>
      <w:bookmarkStart w:id="63" w:name="_Toc57560081"/>
      <w:bookmarkEnd w:id="63"/>
      <w:bookmarkStart w:id="64" w:name="_Toc55584491"/>
      <w:bookmarkEnd w:id="64"/>
      <w:bookmarkStart w:id="65" w:name="_Toc57303052"/>
      <w:bookmarkEnd w:id="65"/>
      <w:bookmarkStart w:id="66" w:name="_Toc58272861"/>
      <w:bookmarkEnd w:id="66"/>
      <w:bookmarkStart w:id="67" w:name="_Toc55584489"/>
      <w:bookmarkEnd w:id="67"/>
      <w:bookmarkStart w:id="68" w:name="_Toc56610216"/>
      <w:bookmarkEnd w:id="68"/>
      <w:bookmarkStart w:id="69" w:name="_Toc57303054"/>
      <w:bookmarkEnd w:id="69"/>
      <w:bookmarkStart w:id="70" w:name="_Toc55888846"/>
      <w:bookmarkEnd w:id="70"/>
      <w:bookmarkStart w:id="71" w:name="_Toc57303053"/>
      <w:bookmarkEnd w:id="71"/>
      <w:bookmarkStart w:id="72" w:name="_Toc57560079"/>
      <w:bookmarkEnd w:id="72"/>
      <w:bookmarkStart w:id="73" w:name="_Toc56086829"/>
      <w:bookmarkEnd w:id="73"/>
      <w:bookmarkStart w:id="74" w:name="_Toc55851296"/>
      <w:bookmarkEnd w:id="74"/>
      <w:bookmarkStart w:id="75" w:name="_Toc55851298"/>
      <w:bookmarkEnd w:id="75"/>
      <w:bookmarkStart w:id="76" w:name="_Toc56086831"/>
      <w:bookmarkEnd w:id="76"/>
      <w:bookmarkStart w:id="77" w:name="_Toc57560080"/>
      <w:bookmarkEnd w:id="77"/>
      <w:bookmarkStart w:id="78" w:name="_Toc57560078"/>
      <w:bookmarkEnd w:id="78"/>
      <w:bookmarkStart w:id="79" w:name="_Toc55888845"/>
      <w:bookmarkEnd w:id="79"/>
      <w:bookmarkStart w:id="80" w:name="_Toc58272863"/>
      <w:bookmarkEnd w:id="80"/>
      <w:bookmarkStart w:id="81" w:name="_Toc56086830"/>
      <w:bookmarkEnd w:id="81"/>
      <w:bookmarkStart w:id="82" w:name="_Toc56610217"/>
      <w:bookmarkEnd w:id="82"/>
      <w:bookmarkStart w:id="83" w:name="_Toc58272860"/>
      <w:bookmarkEnd w:id="83"/>
      <w:bookmarkStart w:id="84" w:name="_Toc55888844"/>
      <w:bookmarkEnd w:id="84"/>
      <w:bookmarkStart w:id="85" w:name="_Toc58272864"/>
      <w:bookmarkEnd w:id="85"/>
      <w:bookmarkStart w:id="86" w:name="_Toc240989745"/>
      <w:bookmarkStart w:id="87" w:name="_Toc12773"/>
      <w:r>
        <w:rPr>
          <w:rFonts w:hint="eastAsia" w:ascii="Times New Roman"/>
        </w:rPr>
        <w:t>规划及</w:t>
      </w:r>
      <w:r>
        <w:rPr>
          <w:rFonts w:ascii="Times New Roman"/>
        </w:rPr>
        <w:t>建设阶段的环境风险防控</w:t>
      </w:r>
      <w:bookmarkEnd w:id="86"/>
      <w:bookmarkEnd w:id="87"/>
    </w:p>
    <w:p w14:paraId="4C9153B5">
      <w:pPr>
        <w:pStyle w:val="98"/>
        <w:spacing w:before="156" w:after="156"/>
        <w:outlineLvl w:val="1"/>
        <w:rPr>
          <w:rStyle w:val="97"/>
          <w:rFonts w:ascii="Times New Roman" w:hAnsi="Times New Roman" w:cs="Times New Roman"/>
        </w:rPr>
      </w:pPr>
      <w:bookmarkStart w:id="88" w:name="_Toc240989746"/>
      <w:r>
        <w:rPr>
          <w:rStyle w:val="97"/>
          <w:rFonts w:ascii="Times New Roman" w:hAnsi="Times New Roman" w:cs="Times New Roman"/>
        </w:rPr>
        <w:t>规划和选址</w:t>
      </w:r>
      <w:bookmarkEnd w:id="88"/>
    </w:p>
    <w:p w14:paraId="09713C34">
      <w:pPr>
        <w:pStyle w:val="105"/>
        <w:numPr>
          <w:ilvl w:val="2"/>
          <w:numId w:val="2"/>
        </w:numPr>
        <w:outlineLvl w:val="9"/>
        <w:rPr>
          <w:rFonts w:ascii="Times New Roman"/>
        </w:rPr>
      </w:pPr>
      <w:r>
        <w:rPr>
          <w:rFonts w:ascii="Times New Roman" w:hAnsi="宋体"/>
        </w:rPr>
        <w:t>小型焚烧设施应按县域统筹规划布局，兼顾生活垃圾收运成本、设施建设运行成本、环境风险，实现综合平衡。</w:t>
      </w:r>
    </w:p>
    <w:p w14:paraId="1692D22D">
      <w:pPr>
        <w:pStyle w:val="105"/>
        <w:numPr>
          <w:ilvl w:val="2"/>
          <w:numId w:val="2"/>
        </w:numPr>
        <w:outlineLvl w:val="9"/>
        <w:rPr>
          <w:rFonts w:ascii="Times New Roman"/>
        </w:rPr>
      </w:pPr>
      <w:r>
        <w:rPr>
          <w:rFonts w:ascii="Times New Roman" w:hAnsi="宋体"/>
        </w:rPr>
        <w:t>小型焚烧设施的</w:t>
      </w:r>
      <w:r>
        <w:rPr>
          <w:rFonts w:hint="eastAsia" w:ascii="Times New Roman" w:hAnsi="宋体"/>
        </w:rPr>
        <w:t>处理规模</w:t>
      </w:r>
      <w:r>
        <w:rPr>
          <w:rFonts w:ascii="Times New Roman" w:hAnsi="宋体"/>
        </w:rPr>
        <w:t>应结合服务区域常住人口、流动人口及生活垃圾清运量综合核定。暂无相关统计数据、亦无同类区域参考时，人均生活垃圾日产生量可按</w:t>
      </w:r>
      <w:r>
        <w:rPr>
          <w:rFonts w:ascii="Times New Roman"/>
        </w:rPr>
        <w:t>0.5 kg</w:t>
      </w:r>
      <w:r>
        <w:rPr>
          <w:rFonts w:ascii="Times New Roman" w:hAnsi="宋体"/>
        </w:rPr>
        <w:t>～</w:t>
      </w:r>
      <w:r>
        <w:rPr>
          <w:rFonts w:ascii="Times New Roman"/>
        </w:rPr>
        <w:t xml:space="preserve">1.0 kg </w:t>
      </w:r>
      <w:r>
        <w:rPr>
          <w:rFonts w:ascii="Times New Roman" w:hAnsi="宋体"/>
        </w:rPr>
        <w:t>进行估算。</w:t>
      </w:r>
    </w:p>
    <w:p w14:paraId="0F34866B">
      <w:pPr>
        <w:pStyle w:val="105"/>
        <w:numPr>
          <w:ilvl w:val="2"/>
          <w:numId w:val="2"/>
        </w:numPr>
        <w:outlineLvl w:val="9"/>
        <w:rPr>
          <w:rFonts w:ascii="Times New Roman"/>
        </w:rPr>
      </w:pPr>
      <w:r>
        <w:rPr>
          <w:rFonts w:hint="eastAsia" w:ascii="Times New Roman" w:hAnsi="宋体"/>
        </w:rPr>
        <w:t>小型焚烧设施的单炉焚烧能力一般不应小于</w:t>
      </w:r>
      <w:r>
        <w:rPr>
          <w:rFonts w:ascii="Times New Roman" w:hAnsi="宋体"/>
        </w:rPr>
        <w:t>30 t/d</w:t>
      </w:r>
      <w:r>
        <w:rPr>
          <w:rFonts w:hint="eastAsia" w:ascii="Times New Roman" w:hAnsi="宋体"/>
        </w:rPr>
        <w:t>。若小于</w:t>
      </w:r>
      <w:r>
        <w:rPr>
          <w:rFonts w:ascii="Times New Roman" w:hAnsi="宋体"/>
        </w:rPr>
        <w:t>30 t/d</w:t>
      </w:r>
      <w:r>
        <w:rPr>
          <w:rFonts w:hint="eastAsia" w:ascii="Times New Roman" w:hAnsi="宋体"/>
        </w:rPr>
        <w:t>，应提供至少连续</w:t>
      </w:r>
      <w:r>
        <w:rPr>
          <w:rFonts w:ascii="Times New Roman" w:hAnsi="宋体"/>
        </w:rPr>
        <w:t>7 d</w:t>
      </w:r>
      <w:r>
        <w:rPr>
          <w:rFonts w:hint="eastAsia" w:ascii="Times New Roman" w:hAnsi="宋体"/>
        </w:rPr>
        <w:t>的高海拔环境实测数据，证明其满足本文件环境风险防控技术要求，并作为处理规模论证的佐证材料。</w:t>
      </w:r>
    </w:p>
    <w:p w14:paraId="4C1C1BC6">
      <w:pPr>
        <w:numPr>
          <w:ilvl w:val="2"/>
          <w:numId w:val="2"/>
        </w:numPr>
        <w:spacing w:before="50" w:after="50"/>
        <w:rPr>
          <w:kern w:val="0"/>
          <w:szCs w:val="21"/>
        </w:rPr>
      </w:pPr>
      <w:r>
        <w:rPr>
          <w:rFonts w:hAnsi="宋体"/>
          <w:kern w:val="0"/>
          <w:szCs w:val="21"/>
        </w:rPr>
        <w:t>小型焚烧设施的选址应符合城乡总体规划、农业农村发展规划、生态环境保护规划以及国家有关标准的规定，且符合以下原则：</w:t>
      </w:r>
    </w:p>
    <w:p w14:paraId="1EFE2124">
      <w:pPr>
        <w:numPr>
          <w:ilvl w:val="0"/>
          <w:numId w:val="3"/>
        </w:numPr>
        <w:tabs>
          <w:tab w:val="center" w:pos="4201"/>
          <w:tab w:val="right" w:leader="dot" w:pos="9298"/>
        </w:tabs>
        <w:autoSpaceDE w:val="0"/>
        <w:autoSpaceDN w:val="0"/>
        <w:jc w:val="both"/>
        <w:rPr>
          <w:kern w:val="0"/>
          <w:szCs w:val="21"/>
        </w:rPr>
      </w:pPr>
      <w:r>
        <w:rPr>
          <w:kern w:val="0"/>
          <w:szCs w:val="21"/>
        </w:rPr>
        <w:t>具备满足项目建设的工程地质条件和水文地质条件；</w:t>
      </w:r>
    </w:p>
    <w:p w14:paraId="0214D7B9">
      <w:pPr>
        <w:numPr>
          <w:ilvl w:val="0"/>
          <w:numId w:val="3"/>
        </w:numPr>
        <w:tabs>
          <w:tab w:val="center" w:pos="4201"/>
          <w:tab w:val="right" w:leader="dot" w:pos="9298"/>
        </w:tabs>
        <w:autoSpaceDE w:val="0"/>
        <w:autoSpaceDN w:val="0"/>
        <w:jc w:val="both"/>
        <w:rPr>
          <w:kern w:val="0"/>
          <w:szCs w:val="21"/>
        </w:rPr>
      </w:pPr>
      <w:r>
        <w:rPr>
          <w:kern w:val="0"/>
          <w:szCs w:val="21"/>
        </w:rPr>
        <w:t>具有可靠的防洪、排涝措施，不受洪水、内涝或潮水的威胁；</w:t>
      </w:r>
    </w:p>
    <w:p w14:paraId="34E21059">
      <w:pPr>
        <w:numPr>
          <w:ilvl w:val="0"/>
          <w:numId w:val="3"/>
        </w:numPr>
        <w:tabs>
          <w:tab w:val="center" w:pos="4201"/>
          <w:tab w:val="right" w:leader="dot" w:pos="9298"/>
        </w:tabs>
        <w:autoSpaceDE w:val="0"/>
        <w:autoSpaceDN w:val="0"/>
        <w:jc w:val="both"/>
        <w:rPr>
          <w:kern w:val="0"/>
          <w:szCs w:val="21"/>
        </w:rPr>
      </w:pPr>
      <w:r>
        <w:rPr>
          <w:kern w:val="0"/>
          <w:szCs w:val="21"/>
        </w:rPr>
        <w:t>与服务区域之间的运输距离经济合理、道路条件良好；</w:t>
      </w:r>
    </w:p>
    <w:p w14:paraId="60FD9CB7">
      <w:pPr>
        <w:numPr>
          <w:ilvl w:val="0"/>
          <w:numId w:val="3"/>
        </w:numPr>
        <w:tabs>
          <w:tab w:val="center" w:pos="4201"/>
          <w:tab w:val="right" w:leader="dot" w:pos="9298"/>
        </w:tabs>
        <w:autoSpaceDE w:val="0"/>
        <w:autoSpaceDN w:val="0"/>
        <w:jc w:val="both"/>
        <w:rPr>
          <w:kern w:val="0"/>
          <w:szCs w:val="21"/>
        </w:rPr>
      </w:pPr>
      <w:r>
        <w:rPr>
          <w:kern w:val="0"/>
          <w:szCs w:val="21"/>
        </w:rPr>
        <w:t>具有可靠的电力供应和供水水源；</w:t>
      </w:r>
    </w:p>
    <w:p w14:paraId="53E3B5EE">
      <w:pPr>
        <w:numPr>
          <w:ilvl w:val="0"/>
          <w:numId w:val="3"/>
        </w:numPr>
        <w:tabs>
          <w:tab w:val="center" w:pos="4201"/>
          <w:tab w:val="right" w:leader="dot" w:pos="9298"/>
        </w:tabs>
        <w:autoSpaceDE w:val="0"/>
        <w:autoSpaceDN w:val="0"/>
        <w:jc w:val="both"/>
        <w:rPr>
          <w:kern w:val="0"/>
          <w:szCs w:val="21"/>
        </w:rPr>
      </w:pPr>
      <w:r>
        <w:rPr>
          <w:kern w:val="0"/>
          <w:szCs w:val="21"/>
        </w:rPr>
        <w:t>与周边人群的距离不应小于500 m，并应设置在主要人口聚集区常年主导风向的下风向；</w:t>
      </w:r>
    </w:p>
    <w:p w14:paraId="410597EE">
      <w:pPr>
        <w:numPr>
          <w:ilvl w:val="0"/>
          <w:numId w:val="3"/>
        </w:numPr>
        <w:tabs>
          <w:tab w:val="center" w:pos="4201"/>
          <w:tab w:val="right" w:leader="dot" w:pos="9298"/>
        </w:tabs>
        <w:autoSpaceDE w:val="0"/>
        <w:autoSpaceDN w:val="0"/>
        <w:jc w:val="both"/>
        <w:rPr>
          <w:kern w:val="0"/>
          <w:szCs w:val="21"/>
        </w:rPr>
      </w:pPr>
      <w:r>
        <w:rPr>
          <w:kern w:val="0"/>
          <w:szCs w:val="21"/>
        </w:rPr>
        <w:t>与河流、水源保护区、基本农田的距离不应小于500 m；</w:t>
      </w:r>
    </w:p>
    <w:p w14:paraId="686FD41A">
      <w:pPr>
        <w:numPr>
          <w:ilvl w:val="0"/>
          <w:numId w:val="3"/>
        </w:numPr>
        <w:tabs>
          <w:tab w:val="center" w:pos="4201"/>
          <w:tab w:val="right" w:leader="dot" w:pos="9298"/>
        </w:tabs>
        <w:autoSpaceDE w:val="0"/>
        <w:autoSpaceDN w:val="0"/>
        <w:jc w:val="both"/>
        <w:rPr>
          <w:kern w:val="0"/>
          <w:szCs w:val="21"/>
        </w:rPr>
      </w:pPr>
      <w:r>
        <w:rPr>
          <w:kern w:val="0"/>
          <w:szCs w:val="21"/>
        </w:rPr>
        <w:t>避开永久冻土区，优先在非冻土区或季节性冻土区选址。</w:t>
      </w:r>
    </w:p>
    <w:p w14:paraId="443A801B">
      <w:pPr>
        <w:pStyle w:val="105"/>
        <w:numPr>
          <w:ilvl w:val="2"/>
          <w:numId w:val="2"/>
        </w:numPr>
        <w:outlineLvl w:val="9"/>
        <w:rPr>
          <w:rFonts w:ascii="Times New Roman"/>
        </w:rPr>
      </w:pPr>
      <w:r>
        <w:rPr>
          <w:rFonts w:ascii="Times New Roman" w:hAnsi="宋体"/>
        </w:rPr>
        <w:t>小型焚烧设施宜选址在生活垃圾填埋场附近，以保证焚烧炉渣和焚烧飞灰妥善处置。小型焚烧设施与生活垃圾填埋场的运输距离不宜大于</w:t>
      </w:r>
      <w:r>
        <w:rPr>
          <w:rFonts w:ascii="Times New Roman"/>
        </w:rPr>
        <w:t>50 km</w:t>
      </w:r>
      <w:r>
        <w:rPr>
          <w:rFonts w:ascii="Times New Roman" w:hAnsi="宋体"/>
        </w:rPr>
        <w:t>。</w:t>
      </w:r>
    </w:p>
    <w:p w14:paraId="7189B183">
      <w:pPr>
        <w:pStyle w:val="98"/>
        <w:spacing w:before="156" w:after="156"/>
        <w:outlineLvl w:val="1"/>
        <w:rPr>
          <w:rStyle w:val="97"/>
          <w:rFonts w:ascii="Times New Roman" w:hAnsi="Times New Roman" w:cs="Times New Roman"/>
        </w:rPr>
      </w:pPr>
      <w:bookmarkStart w:id="89" w:name="_Toc240989747"/>
      <w:r>
        <w:rPr>
          <w:rStyle w:val="97"/>
          <w:rFonts w:ascii="Times New Roman" w:hAnsi="Times New Roman" w:cs="Times New Roman"/>
        </w:rPr>
        <w:t>环境保护手续</w:t>
      </w:r>
      <w:bookmarkEnd w:id="89"/>
    </w:p>
    <w:p w14:paraId="69A54D36">
      <w:pPr>
        <w:pStyle w:val="105"/>
        <w:numPr>
          <w:ilvl w:val="2"/>
          <w:numId w:val="2"/>
        </w:numPr>
        <w:outlineLvl w:val="9"/>
        <w:rPr>
          <w:rFonts w:ascii="Times New Roman"/>
        </w:rPr>
      </w:pPr>
      <w:r>
        <w:rPr>
          <w:rFonts w:ascii="Times New Roman" w:hAnsi="宋体"/>
        </w:rPr>
        <w:t>小型焚烧设施应</w:t>
      </w:r>
      <w:r>
        <w:rPr>
          <w:rFonts w:hint="eastAsia" w:ascii="Times New Roman" w:hAnsi="宋体"/>
        </w:rPr>
        <w:t>结合自身的处理规模，按照国家有关规定</w:t>
      </w:r>
      <w:r>
        <w:rPr>
          <w:rFonts w:ascii="Times New Roman" w:hAnsi="宋体"/>
        </w:rPr>
        <w:t>办理环境影响评价手续。</w:t>
      </w:r>
    </w:p>
    <w:p w14:paraId="0721B1D2">
      <w:pPr>
        <w:pStyle w:val="105"/>
        <w:numPr>
          <w:ilvl w:val="2"/>
          <w:numId w:val="2"/>
        </w:numPr>
        <w:outlineLvl w:val="9"/>
        <w:rPr>
          <w:rFonts w:ascii="Times New Roman"/>
        </w:rPr>
      </w:pPr>
      <w:r>
        <w:rPr>
          <w:rFonts w:ascii="Times New Roman" w:hAnsi="宋体"/>
        </w:rPr>
        <w:t>小型焚烧设施应</w:t>
      </w:r>
      <w:r>
        <w:rPr>
          <w:rFonts w:hint="eastAsia" w:ascii="Times New Roman" w:hAnsi="宋体"/>
        </w:rPr>
        <w:t>结合自身的处理规模，按照国家有关规定</w:t>
      </w:r>
      <w:r>
        <w:rPr>
          <w:rFonts w:ascii="Times New Roman" w:hAnsi="宋体"/>
        </w:rPr>
        <w:t>办理排污许可</w:t>
      </w:r>
      <w:r>
        <w:rPr>
          <w:rFonts w:hint="eastAsia" w:ascii="Times New Roman" w:hAnsi="宋体"/>
        </w:rPr>
        <w:t>证，或</w:t>
      </w:r>
      <w:r>
        <w:rPr>
          <w:rFonts w:ascii="Times New Roman" w:hAnsi="宋体"/>
        </w:rPr>
        <w:t>办理排污许可登记并取得登记回执。</w:t>
      </w:r>
    </w:p>
    <w:p w14:paraId="0E10A937">
      <w:pPr>
        <w:pStyle w:val="98"/>
        <w:spacing w:before="156" w:after="156"/>
        <w:ind w:left="420" w:hanging="420"/>
        <w:outlineLvl w:val="1"/>
        <w:rPr>
          <w:rStyle w:val="97"/>
          <w:rFonts w:ascii="Times New Roman" w:hAnsi="Times New Roman" w:cs="Times New Roman"/>
        </w:rPr>
      </w:pPr>
      <w:bookmarkStart w:id="90" w:name="_Toc240989748"/>
      <w:r>
        <w:rPr>
          <w:rStyle w:val="97"/>
          <w:rFonts w:ascii="Times New Roman" w:hAnsi="Times New Roman" w:cs="Times New Roman"/>
        </w:rPr>
        <w:t>工艺设备</w:t>
      </w:r>
      <w:bookmarkEnd w:id="90"/>
    </w:p>
    <w:p w14:paraId="14C59BB7">
      <w:pPr>
        <w:pStyle w:val="105"/>
        <w:numPr>
          <w:ilvl w:val="2"/>
          <w:numId w:val="2"/>
        </w:numPr>
        <w:outlineLvl w:val="9"/>
        <w:rPr>
          <w:rFonts w:ascii="Times New Roman"/>
        </w:rPr>
      </w:pPr>
      <w:r>
        <w:rPr>
          <w:rFonts w:ascii="Times New Roman" w:hAnsi="宋体"/>
        </w:rPr>
        <w:t>小型焚烧设施</w:t>
      </w:r>
      <w:r>
        <w:rPr>
          <w:rFonts w:hint="eastAsia" w:ascii="Times New Roman" w:hAnsi="宋体"/>
        </w:rPr>
        <w:t>选用焚烧炉，遵循以下原则：</w:t>
      </w:r>
    </w:p>
    <w:p w14:paraId="54D33209">
      <w:pPr>
        <w:pStyle w:val="96"/>
        <w:numPr>
          <w:ilvl w:val="0"/>
          <w:numId w:val="4"/>
        </w:numPr>
        <w:ind w:firstLineChars="0"/>
        <w:rPr>
          <w:rFonts w:ascii="Times New Roman" w:hAnsi="Times New Roman" w:eastAsia="宋体" w:cs="Times New Roman"/>
        </w:rPr>
      </w:pPr>
      <w:r>
        <w:rPr>
          <w:rFonts w:ascii="Times New Roman" w:eastAsia="宋体" w:cs="Times New Roman"/>
        </w:rPr>
        <w:t>单炉处理规模大于等于</w:t>
      </w:r>
      <w:r>
        <w:rPr>
          <w:rFonts w:ascii="Times New Roman" w:hAnsi="Times New Roman" w:eastAsia="宋体" w:cs="Times New Roman"/>
        </w:rPr>
        <w:t>30 t/d</w:t>
      </w:r>
      <w:r>
        <w:rPr>
          <w:rFonts w:ascii="Times New Roman" w:eastAsia="宋体" w:cs="Times New Roman"/>
        </w:rPr>
        <w:t>时，应选用机械炉排焚烧炉；</w:t>
      </w:r>
    </w:p>
    <w:p w14:paraId="3650F161">
      <w:pPr>
        <w:pStyle w:val="96"/>
        <w:numPr>
          <w:ilvl w:val="0"/>
          <w:numId w:val="4"/>
        </w:numPr>
        <w:ind w:firstLineChars="0"/>
        <w:rPr>
          <w:rFonts w:ascii="Times New Roman" w:hAnsi="Times New Roman" w:eastAsia="宋体" w:cs="Times New Roman"/>
        </w:rPr>
      </w:pPr>
      <w:r>
        <w:rPr>
          <w:rFonts w:ascii="Times New Roman" w:eastAsia="宋体" w:cs="Times New Roman"/>
        </w:rPr>
        <w:t>单炉处理规模小于</w:t>
      </w:r>
      <w:r>
        <w:rPr>
          <w:rFonts w:ascii="Times New Roman" w:hAnsi="Times New Roman" w:eastAsia="宋体" w:cs="Times New Roman"/>
        </w:rPr>
        <w:t>30 t/d</w:t>
      </w:r>
      <w:r>
        <w:rPr>
          <w:rFonts w:ascii="Times New Roman" w:eastAsia="宋体" w:cs="Times New Roman"/>
        </w:rPr>
        <w:t>时，</w:t>
      </w:r>
      <w:r>
        <w:rPr>
          <w:rFonts w:hint="eastAsia" w:ascii="Times New Roman" w:eastAsia="宋体" w:cs="Times New Roman"/>
        </w:rPr>
        <w:t>应优先选用</w:t>
      </w:r>
      <w:r>
        <w:rPr>
          <w:rFonts w:ascii="Times New Roman" w:eastAsia="宋体" w:cs="Times New Roman"/>
        </w:rPr>
        <w:t>机械炉排焚烧炉</w:t>
      </w:r>
      <w:r>
        <w:rPr>
          <w:rFonts w:hint="eastAsia" w:ascii="Times New Roman" w:eastAsia="宋体" w:cs="Times New Roman"/>
        </w:rPr>
        <w:t>；若选用</w:t>
      </w:r>
      <w:r>
        <w:rPr>
          <w:rFonts w:ascii="Times New Roman" w:eastAsia="宋体" w:cs="Times New Roman"/>
        </w:rPr>
        <w:t>固定床</w:t>
      </w:r>
      <w:r>
        <w:rPr>
          <w:rFonts w:ascii="Times New Roman" w:hAnsi="Times New Roman" w:eastAsia="宋体" w:cs="Times New Roman"/>
        </w:rPr>
        <w:t>-</w:t>
      </w:r>
      <w:r>
        <w:rPr>
          <w:rFonts w:ascii="Times New Roman" w:eastAsia="宋体" w:cs="Times New Roman"/>
        </w:rPr>
        <w:t>机械炉排复合式焚烧炉</w:t>
      </w:r>
      <w:r>
        <w:rPr>
          <w:rFonts w:hint="eastAsia" w:ascii="Times New Roman" w:eastAsia="宋体" w:cs="Times New Roman"/>
        </w:rPr>
        <w:t>等其他炉型，应基于同一炉型和规模</w:t>
      </w:r>
      <w:r>
        <w:rPr>
          <w:rFonts w:hint="eastAsia" w:ascii="Times New Roman"/>
        </w:rPr>
        <w:t>至少连续7 d的高海拔环境实测数据，论证环境风险防控能否满足本文件要求；不应选用</w:t>
      </w:r>
      <w:r>
        <w:rPr>
          <w:rFonts w:ascii="Times New Roman" w:eastAsia="宋体" w:cs="Times New Roman"/>
        </w:rPr>
        <w:t>固定床焚烧炉。</w:t>
      </w:r>
    </w:p>
    <w:p w14:paraId="6CEE8E1A">
      <w:pPr>
        <w:pStyle w:val="105"/>
        <w:numPr>
          <w:ilvl w:val="2"/>
          <w:numId w:val="2"/>
        </w:numPr>
        <w:outlineLvl w:val="9"/>
        <w:rPr>
          <w:rFonts w:ascii="Times New Roman"/>
        </w:rPr>
      </w:pPr>
      <w:r>
        <w:rPr>
          <w:rFonts w:ascii="Times New Roman" w:hAnsi="宋体"/>
        </w:rPr>
        <w:t>选用的</w:t>
      </w:r>
      <w:r>
        <w:rPr>
          <w:rFonts w:hint="eastAsia" w:ascii="Times New Roman" w:hAnsi="宋体"/>
        </w:rPr>
        <w:t>焚烧炉</w:t>
      </w:r>
      <w:r>
        <w:rPr>
          <w:rFonts w:ascii="Times New Roman" w:hAnsi="宋体"/>
        </w:rPr>
        <w:t>应满足以下要求：</w:t>
      </w:r>
    </w:p>
    <w:p w14:paraId="451C3096">
      <w:pPr>
        <w:pStyle w:val="96"/>
        <w:numPr>
          <w:ilvl w:val="0"/>
          <w:numId w:val="5"/>
        </w:numPr>
        <w:ind w:firstLineChars="0"/>
        <w:rPr>
          <w:rFonts w:ascii="Times New Roman" w:hAnsi="Times New Roman" w:eastAsia="宋体" w:cs="Times New Roman"/>
        </w:rPr>
      </w:pPr>
      <w:r>
        <w:rPr>
          <w:rFonts w:ascii="Times New Roman" w:eastAsia="宋体" w:cs="Times New Roman"/>
        </w:rPr>
        <w:t>设置空间上相互独立的一次燃烧室和二次燃烧室（或等效空间），并分别配置独立、风量可调的配风风机</w:t>
      </w:r>
      <w:r>
        <w:rPr>
          <w:rFonts w:hint="eastAsia" w:ascii="Times New Roman"/>
        </w:rPr>
        <w:t>；</w:t>
      </w:r>
    </w:p>
    <w:p w14:paraId="2775F7E0">
      <w:pPr>
        <w:pStyle w:val="96"/>
        <w:numPr>
          <w:ilvl w:val="0"/>
          <w:numId w:val="5"/>
        </w:numPr>
        <w:ind w:firstLineChars="0"/>
        <w:rPr>
          <w:rFonts w:ascii="Times New Roman" w:hAnsi="Times New Roman" w:eastAsia="宋体" w:cs="Times New Roman"/>
        </w:rPr>
      </w:pPr>
      <w:r>
        <w:rPr>
          <w:rFonts w:hint="eastAsia" w:ascii="Times New Roman" w:eastAsia="宋体" w:cs="Times New Roman"/>
        </w:rPr>
        <w:t>二次燃烧室烟气流向的上游与下游之间设置至少2个炉温监测断面，每个断面应设置至少2支热电偶，实时测量炉温；两个炉温监测断面之间的距离应保证焚烧炉正常运行期间烟气在二次燃烧室内的停留时间不少于2s</w:t>
      </w:r>
      <w:r>
        <w:rPr>
          <w:rFonts w:ascii="Times New Roman" w:eastAsia="宋体" w:cs="Times New Roman"/>
        </w:rPr>
        <w:t>；</w:t>
      </w:r>
    </w:p>
    <w:p w14:paraId="3A019252">
      <w:pPr>
        <w:pStyle w:val="96"/>
        <w:numPr>
          <w:ilvl w:val="0"/>
          <w:numId w:val="5"/>
        </w:numPr>
        <w:ind w:firstLineChars="0"/>
        <w:rPr>
          <w:rFonts w:ascii="Times New Roman" w:hAnsi="Times New Roman" w:eastAsia="宋体" w:cs="Times New Roman"/>
        </w:rPr>
      </w:pPr>
      <w:r>
        <w:rPr>
          <w:rFonts w:hint="eastAsia" w:ascii="Times New Roman" w:eastAsia="宋体" w:cs="Times New Roman"/>
        </w:rPr>
        <w:t>至少在二次</w:t>
      </w:r>
      <w:r>
        <w:rPr>
          <w:rFonts w:ascii="Times New Roman" w:eastAsia="宋体" w:cs="Times New Roman"/>
        </w:rPr>
        <w:t>燃烧室</w:t>
      </w:r>
      <w:r>
        <w:rPr>
          <w:rFonts w:hint="eastAsia" w:ascii="Times New Roman" w:eastAsia="宋体" w:cs="Times New Roman"/>
        </w:rPr>
        <w:t>炉墙上</w:t>
      </w:r>
      <w:r>
        <w:rPr>
          <w:rFonts w:ascii="Times New Roman" w:eastAsia="宋体" w:cs="Times New Roman"/>
        </w:rPr>
        <w:t>设置火焰观测孔</w:t>
      </w:r>
      <w:r>
        <w:rPr>
          <w:rFonts w:hint="eastAsia" w:ascii="Times New Roman" w:eastAsia="宋体" w:cs="Times New Roman"/>
        </w:rPr>
        <w:t>；</w:t>
      </w:r>
    </w:p>
    <w:p w14:paraId="2DA20B8E">
      <w:pPr>
        <w:pStyle w:val="96"/>
        <w:numPr>
          <w:ilvl w:val="0"/>
          <w:numId w:val="5"/>
        </w:numPr>
        <w:ind w:firstLineChars="0"/>
        <w:rPr>
          <w:rFonts w:ascii="Times New Roman" w:hAnsi="Times New Roman" w:eastAsia="宋体" w:cs="Times New Roman"/>
        </w:rPr>
      </w:pPr>
      <w:r>
        <w:rPr>
          <w:rFonts w:hint="eastAsia" w:ascii="Times New Roman" w:eastAsia="宋体" w:cs="Times New Roman"/>
        </w:rPr>
        <w:t>其他</w:t>
      </w:r>
      <w:r>
        <w:rPr>
          <w:rFonts w:ascii="Times New Roman" w:eastAsia="宋体" w:cs="Times New Roman"/>
        </w:rPr>
        <w:t>技术性能要求执行</w:t>
      </w:r>
      <w:r>
        <w:rPr>
          <w:rFonts w:ascii="Times New Roman" w:hAnsi="Times New Roman" w:eastAsia="宋体" w:cs="Times New Roman"/>
        </w:rPr>
        <w:t>GB/T 18750</w:t>
      </w:r>
      <w:r>
        <w:rPr>
          <w:rFonts w:ascii="Times New Roman" w:eastAsia="宋体" w:cs="Times New Roman"/>
        </w:rPr>
        <w:t>的规定</w:t>
      </w:r>
      <w:r>
        <w:rPr>
          <w:rFonts w:hint="eastAsia" w:ascii="Times New Roman" w:eastAsia="宋体" w:cs="Times New Roman"/>
        </w:rPr>
        <w:t>。</w:t>
      </w:r>
    </w:p>
    <w:p w14:paraId="00F4466D">
      <w:pPr>
        <w:pStyle w:val="105"/>
        <w:numPr>
          <w:ilvl w:val="2"/>
          <w:numId w:val="2"/>
        </w:numPr>
        <w:outlineLvl w:val="9"/>
        <w:rPr>
          <w:rFonts w:ascii="Times New Roman"/>
        </w:rPr>
      </w:pPr>
      <w:r>
        <w:rPr>
          <w:rFonts w:ascii="Times New Roman" w:hAnsi="宋体"/>
        </w:rPr>
        <w:t>小型焚烧设施</w:t>
      </w:r>
      <w:r>
        <w:rPr>
          <w:rFonts w:hint="eastAsia" w:ascii="Times New Roman" w:hAnsi="宋体"/>
        </w:rPr>
        <w:t>若需配置</w:t>
      </w:r>
      <w:r>
        <w:rPr>
          <w:rFonts w:ascii="Times New Roman" w:hAnsi="宋体"/>
        </w:rPr>
        <w:t>生活垃圾预处理</w:t>
      </w:r>
      <w:r>
        <w:rPr>
          <w:rFonts w:hint="eastAsia" w:ascii="Times New Roman" w:hAnsi="宋体"/>
        </w:rPr>
        <w:t>装置，则应优先配备</w:t>
      </w:r>
      <w:r>
        <w:rPr>
          <w:rFonts w:ascii="Times New Roman"/>
        </w:rPr>
        <w:t>分选</w:t>
      </w:r>
      <w:r>
        <w:rPr>
          <w:rFonts w:hint="eastAsia" w:ascii="Times New Roman"/>
        </w:rPr>
        <w:t>机、破碎机</w:t>
      </w:r>
      <w:r>
        <w:rPr>
          <w:rFonts w:ascii="Times New Roman"/>
        </w:rPr>
        <w:t>等机械处理设备</w:t>
      </w:r>
      <w:r>
        <w:rPr>
          <w:rFonts w:hint="eastAsia" w:ascii="Times New Roman"/>
        </w:rPr>
        <w:t>。</w:t>
      </w:r>
    </w:p>
    <w:p w14:paraId="3FE849B9">
      <w:pPr>
        <w:pStyle w:val="105"/>
        <w:numPr>
          <w:ilvl w:val="2"/>
          <w:numId w:val="2"/>
        </w:numPr>
        <w:outlineLvl w:val="9"/>
        <w:rPr>
          <w:rFonts w:ascii="Times New Roman"/>
        </w:rPr>
      </w:pPr>
      <w:r>
        <w:rPr>
          <w:rFonts w:ascii="Times New Roman" w:hAnsi="宋体"/>
        </w:rPr>
        <w:t>小型焚烧设施</w:t>
      </w:r>
      <w:r>
        <w:rPr>
          <w:rFonts w:hint="eastAsia" w:ascii="Times New Roman" w:hAnsi="宋体"/>
        </w:rPr>
        <w:t>应开展</w:t>
      </w:r>
      <w:r>
        <w:rPr>
          <w:rFonts w:ascii="Times New Roman" w:hAnsi="宋体"/>
        </w:rPr>
        <w:t>烟气余热利用</w:t>
      </w:r>
      <w:r>
        <w:rPr>
          <w:rFonts w:hint="eastAsia" w:ascii="Times New Roman" w:hAnsi="宋体"/>
        </w:rPr>
        <w:t>，</w:t>
      </w:r>
      <w:r>
        <w:rPr>
          <w:rFonts w:ascii="Times New Roman" w:hAnsi="宋体"/>
        </w:rPr>
        <w:t>可合理选用以下一种或多种方式：</w:t>
      </w:r>
    </w:p>
    <w:p w14:paraId="5A7D2D41">
      <w:pPr>
        <w:pStyle w:val="96"/>
        <w:numPr>
          <w:ilvl w:val="0"/>
          <w:numId w:val="6"/>
        </w:numPr>
        <w:ind w:firstLineChars="0"/>
        <w:rPr>
          <w:rFonts w:ascii="Times New Roman" w:hAnsi="Times New Roman" w:eastAsia="宋体" w:cs="Times New Roman"/>
        </w:rPr>
      </w:pPr>
      <w:r>
        <w:rPr>
          <w:rFonts w:hint="eastAsia" w:ascii="Times New Roman" w:hAnsi="Times New Roman" w:eastAsia="宋体" w:cs="Times New Roman"/>
        </w:rPr>
        <w:t>配套余热发电装置；</w:t>
      </w:r>
    </w:p>
    <w:p w14:paraId="284882C6">
      <w:pPr>
        <w:pStyle w:val="96"/>
        <w:numPr>
          <w:ilvl w:val="0"/>
          <w:numId w:val="6"/>
        </w:numPr>
        <w:ind w:firstLineChars="0"/>
        <w:rPr>
          <w:rFonts w:ascii="Times New Roman" w:hAnsi="Times New Roman" w:eastAsia="宋体" w:cs="Times New Roman"/>
        </w:rPr>
      </w:pPr>
      <w:r>
        <w:rPr>
          <w:rFonts w:ascii="Times New Roman" w:eastAsia="宋体" w:cs="Times New Roman"/>
        </w:rPr>
        <w:t>配套余热锅炉生产</w:t>
      </w:r>
      <w:r>
        <w:rPr>
          <w:rFonts w:hint="eastAsia" w:ascii="Times New Roman" w:eastAsia="宋体" w:cs="Times New Roman"/>
        </w:rPr>
        <w:t>蒸汽或</w:t>
      </w:r>
      <w:r>
        <w:rPr>
          <w:rFonts w:ascii="Times New Roman" w:eastAsia="宋体" w:cs="Times New Roman"/>
        </w:rPr>
        <w:t>热水</w:t>
      </w:r>
      <w:r>
        <w:rPr>
          <w:rFonts w:hint="eastAsia" w:ascii="Times New Roman" w:eastAsia="宋体" w:cs="Times New Roman"/>
        </w:rPr>
        <w:t>；</w:t>
      </w:r>
    </w:p>
    <w:p w14:paraId="43BF1CD1">
      <w:pPr>
        <w:pStyle w:val="96"/>
        <w:numPr>
          <w:ilvl w:val="0"/>
          <w:numId w:val="6"/>
        </w:numPr>
        <w:ind w:firstLineChars="0"/>
        <w:rPr>
          <w:rFonts w:ascii="Times New Roman" w:hAnsi="Times New Roman" w:eastAsia="宋体" w:cs="Times New Roman"/>
        </w:rPr>
      </w:pPr>
      <w:r>
        <w:rPr>
          <w:rFonts w:ascii="Times New Roman" w:eastAsia="宋体" w:cs="Times New Roman"/>
        </w:rPr>
        <w:t>配套非接触式气</w:t>
      </w:r>
      <w:r>
        <w:rPr>
          <w:rFonts w:hint="eastAsia" w:ascii="Times New Roman" w:hAnsi="Times New Roman" w:eastAsia="宋体" w:cs="Times New Roman"/>
        </w:rPr>
        <w:t>—</w:t>
      </w:r>
      <w:r>
        <w:rPr>
          <w:rFonts w:ascii="Times New Roman" w:eastAsia="宋体" w:cs="Times New Roman"/>
        </w:rPr>
        <w:t>气换热器生产热风；</w:t>
      </w:r>
    </w:p>
    <w:p w14:paraId="10A52C1A">
      <w:pPr>
        <w:pStyle w:val="96"/>
        <w:numPr>
          <w:ilvl w:val="0"/>
          <w:numId w:val="6"/>
        </w:numPr>
        <w:ind w:firstLineChars="0"/>
        <w:rPr>
          <w:rFonts w:ascii="Times New Roman" w:hAnsi="Times New Roman" w:eastAsia="宋体" w:cs="Times New Roman"/>
        </w:rPr>
      </w:pPr>
      <w:r>
        <w:rPr>
          <w:rFonts w:ascii="Times New Roman" w:eastAsia="宋体" w:cs="Times New Roman"/>
        </w:rPr>
        <w:t>采用非接触式换热预热生活垃圾料层。</w:t>
      </w:r>
    </w:p>
    <w:p w14:paraId="2F9654BB">
      <w:pPr>
        <w:pStyle w:val="105"/>
        <w:numPr>
          <w:ilvl w:val="2"/>
          <w:numId w:val="2"/>
        </w:numPr>
        <w:outlineLvl w:val="9"/>
        <w:rPr>
          <w:rFonts w:ascii="Times New Roman"/>
        </w:rPr>
      </w:pPr>
      <w:r>
        <w:rPr>
          <w:rStyle w:val="97"/>
          <w:rFonts w:ascii="Times New Roman" w:hAnsi="宋体" w:eastAsia="宋体"/>
        </w:rPr>
        <w:t>小型</w:t>
      </w:r>
      <w:r>
        <w:rPr>
          <w:rFonts w:ascii="Times New Roman" w:hAnsi="宋体"/>
        </w:rPr>
        <w:t>焚烧设施的烟气余热利用不</w:t>
      </w:r>
      <w:r>
        <w:rPr>
          <w:rFonts w:hint="eastAsia" w:ascii="Times New Roman" w:hAnsi="宋体"/>
        </w:rPr>
        <w:t>应采用下列</w:t>
      </w:r>
      <w:r>
        <w:rPr>
          <w:rFonts w:ascii="Times New Roman" w:hAnsi="宋体"/>
        </w:rPr>
        <w:t>方式：</w:t>
      </w:r>
    </w:p>
    <w:p w14:paraId="41EB6CCC">
      <w:pPr>
        <w:pStyle w:val="96"/>
        <w:numPr>
          <w:ilvl w:val="0"/>
          <w:numId w:val="7"/>
        </w:numPr>
        <w:ind w:firstLineChars="0"/>
        <w:rPr>
          <w:rFonts w:ascii="Times New Roman" w:hAnsi="Times New Roman" w:eastAsia="宋体" w:cs="Times New Roman"/>
        </w:rPr>
      </w:pPr>
      <w:r>
        <w:rPr>
          <w:rFonts w:ascii="Times New Roman" w:eastAsia="宋体" w:cs="Times New Roman"/>
        </w:rPr>
        <w:t>接触式预热生活垃圾料层，导致烟气中焦油含量高；</w:t>
      </w:r>
    </w:p>
    <w:p w14:paraId="6613FCA8">
      <w:pPr>
        <w:pStyle w:val="96"/>
        <w:numPr>
          <w:ilvl w:val="0"/>
          <w:numId w:val="7"/>
        </w:numPr>
        <w:ind w:firstLineChars="0"/>
        <w:rPr>
          <w:rFonts w:ascii="Times New Roman" w:hAnsi="Times New Roman" w:eastAsia="宋体" w:cs="Times New Roman"/>
        </w:rPr>
      </w:pPr>
      <w:r>
        <w:rPr>
          <w:rFonts w:ascii="Times New Roman" w:eastAsia="宋体" w:cs="Times New Roman"/>
        </w:rPr>
        <w:t>接触式喷水降温，导致</w:t>
      </w:r>
      <w:r>
        <w:rPr>
          <w:rFonts w:hint="eastAsia" w:ascii="Times New Roman" w:eastAsia="宋体" w:cs="Times New Roman"/>
        </w:rPr>
        <w:t>产生的</w:t>
      </w:r>
      <w:r>
        <w:rPr>
          <w:rFonts w:ascii="Times New Roman" w:eastAsia="宋体" w:cs="Times New Roman"/>
        </w:rPr>
        <w:t>废水难处理。</w:t>
      </w:r>
    </w:p>
    <w:p w14:paraId="60074AE2">
      <w:pPr>
        <w:pStyle w:val="105"/>
        <w:numPr>
          <w:ilvl w:val="2"/>
          <w:numId w:val="2"/>
        </w:numPr>
        <w:outlineLvl w:val="9"/>
        <w:rPr>
          <w:rFonts w:ascii="Times New Roman"/>
        </w:rPr>
      </w:pPr>
      <w:r>
        <w:rPr>
          <w:rFonts w:ascii="Times New Roman"/>
        </w:rPr>
        <w:t xml:space="preserve">小型焚烧设施各类烟气污染物的环境风险防控应遵循以下原则： </w:t>
      </w:r>
    </w:p>
    <w:p w14:paraId="0F0FA742">
      <w:pPr>
        <w:pStyle w:val="96"/>
        <w:numPr>
          <w:ilvl w:val="0"/>
          <w:numId w:val="8"/>
        </w:numPr>
        <w:ind w:firstLineChars="0"/>
        <w:rPr>
          <w:rFonts w:ascii="Times New Roman" w:hAnsi="Times New Roman" w:cs="Times New Roman"/>
        </w:rPr>
      </w:pPr>
      <w:r>
        <w:rPr>
          <w:rFonts w:ascii="Times New Roman" w:cs="Times New Roman"/>
        </w:rPr>
        <w:t>烟气中一氧化碳、焦油、二噁英类的控制</w:t>
      </w:r>
      <w:r>
        <w:rPr>
          <w:rFonts w:hint="eastAsia" w:ascii="Times New Roman" w:cs="Times New Roman"/>
        </w:rPr>
        <w:t>，</w:t>
      </w:r>
      <w:r>
        <w:rPr>
          <w:rFonts w:ascii="Times New Roman" w:cs="Times New Roman"/>
        </w:rPr>
        <w:t>以二次燃烧室焚毁去除为主，</w:t>
      </w:r>
      <w:r>
        <w:rPr>
          <w:rFonts w:hint="eastAsia" w:ascii="Times New Roman" w:cs="Times New Roman"/>
        </w:rPr>
        <w:t>其中</w:t>
      </w:r>
      <w:r>
        <w:rPr>
          <w:rFonts w:ascii="Times New Roman" w:cs="Times New Roman"/>
        </w:rPr>
        <w:t>一氧化碳和焦油在二次燃烧室的焚毁</w:t>
      </w:r>
      <w:r>
        <w:rPr>
          <w:rFonts w:hint="eastAsia" w:ascii="Times New Roman" w:cs="Times New Roman"/>
        </w:rPr>
        <w:t>去除</w:t>
      </w:r>
      <w:r>
        <w:rPr>
          <w:rFonts w:ascii="Times New Roman" w:cs="Times New Roman"/>
        </w:rPr>
        <w:t>率</w:t>
      </w:r>
      <w:r>
        <w:rPr>
          <w:rFonts w:hint="eastAsia" w:ascii="Times New Roman" w:cs="Times New Roman"/>
        </w:rPr>
        <w:t>不低于</w:t>
      </w:r>
      <w:r>
        <w:rPr>
          <w:rFonts w:ascii="Times New Roman" w:hAnsi="Times New Roman" w:cs="Times New Roman"/>
        </w:rPr>
        <w:t>99.9%</w:t>
      </w:r>
      <w:r>
        <w:rPr>
          <w:rFonts w:ascii="Times New Roman" w:cs="Times New Roman"/>
        </w:rPr>
        <w:t>；</w:t>
      </w:r>
    </w:p>
    <w:p w14:paraId="154E07AB">
      <w:pPr>
        <w:pStyle w:val="96"/>
        <w:numPr>
          <w:ilvl w:val="0"/>
          <w:numId w:val="8"/>
        </w:numPr>
        <w:ind w:firstLineChars="0"/>
        <w:rPr>
          <w:rFonts w:ascii="Times New Roman" w:hAnsi="Times New Roman" w:cs="Times New Roman"/>
        </w:rPr>
      </w:pPr>
      <w:r>
        <w:rPr>
          <w:rFonts w:ascii="Times New Roman" w:cs="Times New Roman"/>
        </w:rPr>
        <w:t>烟气中二氧化硫、氯化氢、颗粒物的去除，优先选择流程短、废水产量少的工艺措施；</w:t>
      </w:r>
    </w:p>
    <w:p w14:paraId="75C6BA5D">
      <w:pPr>
        <w:pStyle w:val="96"/>
        <w:numPr>
          <w:ilvl w:val="0"/>
          <w:numId w:val="8"/>
        </w:numPr>
        <w:ind w:firstLineChars="0"/>
        <w:rPr>
          <w:rFonts w:ascii="Times New Roman" w:hAnsi="Times New Roman" w:cs="Times New Roman"/>
        </w:rPr>
      </w:pPr>
      <w:r>
        <w:rPr>
          <w:rFonts w:ascii="Times New Roman" w:cs="Times New Roman"/>
        </w:rPr>
        <w:t>烟气中二噁英和重金属的去除，在二次燃烧室焚毁去除的基础上，</w:t>
      </w:r>
      <w:r>
        <w:rPr>
          <w:rFonts w:hint="eastAsia" w:ascii="Times New Roman" w:cs="Times New Roman"/>
        </w:rPr>
        <w:t>联合采用</w:t>
      </w:r>
      <w:r>
        <w:rPr>
          <w:rFonts w:ascii="Times New Roman" w:cs="Times New Roman"/>
        </w:rPr>
        <w:t>冷凝沉降、吸附、过滤等去除措施。</w:t>
      </w:r>
    </w:p>
    <w:p w14:paraId="5EAA0008">
      <w:pPr>
        <w:pStyle w:val="105"/>
        <w:numPr>
          <w:ilvl w:val="2"/>
          <w:numId w:val="2"/>
        </w:numPr>
        <w:outlineLvl w:val="9"/>
      </w:pPr>
      <w:r>
        <w:rPr>
          <w:rFonts w:hint="eastAsia" w:ascii="Times New Roman"/>
        </w:rPr>
        <w:t>每台焚烧炉</w:t>
      </w:r>
      <w:r>
        <w:rPr>
          <w:rFonts w:ascii="Times New Roman"/>
        </w:rPr>
        <w:t>应</w:t>
      </w:r>
      <w:r>
        <w:rPr>
          <w:rFonts w:hint="eastAsia" w:ascii="Times New Roman"/>
        </w:rPr>
        <w:t>单独设置</w:t>
      </w:r>
      <w:r>
        <w:rPr>
          <w:rFonts w:hint="eastAsia"/>
        </w:rPr>
        <w:t>专门的烟气净化装置作为末端兜底措施，并满足以下要求：</w:t>
      </w:r>
    </w:p>
    <w:p w14:paraId="6CDDE073">
      <w:pPr>
        <w:pStyle w:val="96"/>
        <w:numPr>
          <w:ilvl w:val="0"/>
          <w:numId w:val="9"/>
        </w:numPr>
        <w:ind w:firstLineChars="0"/>
      </w:pPr>
      <w:r>
        <w:rPr>
          <w:rFonts w:hint="eastAsia"/>
        </w:rPr>
        <w:t>烟气净化单元至少应包括烟气脱酸、除尘、二噁英类去除等，可包括烟气脱硝；</w:t>
      </w:r>
    </w:p>
    <w:p w14:paraId="08BBEB17">
      <w:pPr>
        <w:pStyle w:val="96"/>
        <w:numPr>
          <w:ilvl w:val="0"/>
          <w:numId w:val="9"/>
        </w:numPr>
        <w:ind w:firstLineChars="0"/>
        <w:rPr>
          <w:rFonts w:cs="Times New Roman"/>
        </w:rPr>
      </w:pPr>
      <w:r>
        <w:rPr>
          <w:rFonts w:hint="eastAsia"/>
        </w:rPr>
        <w:t>烟气除尘单元应优先选用电除尘、布袋除尘等技术；</w:t>
      </w:r>
    </w:p>
    <w:p w14:paraId="4652FAB7">
      <w:pPr>
        <w:pStyle w:val="96"/>
        <w:numPr>
          <w:ilvl w:val="0"/>
          <w:numId w:val="9"/>
        </w:numPr>
        <w:ind w:firstLineChars="0"/>
        <w:rPr>
          <w:rFonts w:cs="Times New Roman"/>
        </w:rPr>
      </w:pPr>
      <w:r>
        <w:rPr>
          <w:rFonts w:hint="eastAsia"/>
        </w:rPr>
        <w:t>不应选用《国家污染防治技术指导目录》中列出的淘汰类、低效类技术；</w:t>
      </w:r>
    </w:p>
    <w:p w14:paraId="46089776">
      <w:pPr>
        <w:pStyle w:val="96"/>
        <w:numPr>
          <w:ilvl w:val="0"/>
          <w:numId w:val="9"/>
        </w:numPr>
        <w:ind w:firstLineChars="0"/>
        <w:rPr>
          <w:rFonts w:ascii="Times New Roman" w:hAnsi="Times New Roman" w:eastAsia="宋体" w:cs="Times New Roman"/>
        </w:rPr>
      </w:pPr>
      <w:r>
        <w:rPr>
          <w:rFonts w:hint="eastAsia"/>
        </w:rPr>
        <w:t>不应选用将烟气污染物转移至废水后无法妥善处理废水的技术。</w:t>
      </w:r>
    </w:p>
    <w:p w14:paraId="6A3F7780">
      <w:pPr>
        <w:pStyle w:val="105"/>
        <w:numPr>
          <w:ilvl w:val="2"/>
          <w:numId w:val="2"/>
        </w:numPr>
        <w:outlineLvl w:val="9"/>
        <w:rPr>
          <w:rFonts w:ascii="Times New Roman"/>
        </w:rPr>
      </w:pPr>
      <w:r>
        <w:rPr>
          <w:rFonts w:hint="eastAsia" w:ascii="Times New Roman"/>
        </w:rPr>
        <w:t>每台焚烧炉的</w:t>
      </w:r>
      <w:r>
        <w:rPr>
          <w:rFonts w:hint="eastAsia"/>
        </w:rPr>
        <w:t>烟气净化装置应连接单独设置的排气筒，排气筒的高度应满足</w:t>
      </w:r>
      <w:r>
        <w:rPr>
          <w:rFonts w:ascii="Times New Roman"/>
        </w:rPr>
        <w:t>GB 16297</w:t>
      </w:r>
      <w:r>
        <w:rPr>
          <w:rFonts w:hint="eastAsia" w:ascii="Times New Roman"/>
        </w:rPr>
        <w:t>的要求，且按照</w:t>
      </w:r>
      <w:r>
        <w:rPr>
          <w:rFonts w:ascii="Times New Roman"/>
        </w:rPr>
        <w:t>GB 15562.1的要求设置污染排放口标志</w:t>
      </w:r>
      <w:r>
        <w:rPr>
          <w:rFonts w:hint="eastAsia" w:ascii="Times New Roman"/>
        </w:rPr>
        <w:t>。</w:t>
      </w:r>
    </w:p>
    <w:p w14:paraId="076C3170">
      <w:pPr>
        <w:pStyle w:val="98"/>
        <w:spacing w:before="156" w:after="156"/>
        <w:ind w:left="420" w:hanging="420"/>
        <w:outlineLvl w:val="1"/>
        <w:rPr>
          <w:rStyle w:val="97"/>
          <w:rFonts w:ascii="Times New Roman" w:hAnsi="Times New Roman" w:cs="Times New Roman"/>
        </w:rPr>
      </w:pPr>
      <w:bookmarkStart w:id="91" w:name="_Toc240989749"/>
      <w:bookmarkStart w:id="92" w:name="_Toc8438"/>
      <w:r>
        <w:rPr>
          <w:rStyle w:val="97"/>
          <w:rFonts w:ascii="Times New Roman" w:hAnsi="Times New Roman" w:cs="Times New Roman"/>
        </w:rPr>
        <w:t>控制系统</w:t>
      </w:r>
      <w:bookmarkEnd w:id="91"/>
    </w:p>
    <w:p w14:paraId="68F39AC6">
      <w:pPr>
        <w:pStyle w:val="105"/>
        <w:numPr>
          <w:ilvl w:val="2"/>
          <w:numId w:val="2"/>
        </w:numPr>
        <w:outlineLvl w:val="9"/>
        <w:rPr>
          <w:rFonts w:ascii="Times New Roman" w:hAnsi="宋体"/>
        </w:rPr>
      </w:pPr>
      <w:r>
        <w:rPr>
          <w:rFonts w:hint="eastAsia" w:ascii="Times New Roman" w:hAnsi="宋体"/>
        </w:rPr>
        <w:t>小型焚烧设施应设置专门的控制系统，用于实时采集、监控和调控焚烧炉的关键工况参数，以保证焚烧工况稳定，减少污染物生成。关键工况参数至少应包括：炉膛压力、一次燃烧室温度、二次燃烧室温度、一次风风量、二次风风量、烟气氧含量等。</w:t>
      </w:r>
    </w:p>
    <w:p w14:paraId="7BCA7F9F">
      <w:pPr>
        <w:pStyle w:val="105"/>
        <w:numPr>
          <w:ilvl w:val="2"/>
          <w:numId w:val="2"/>
        </w:numPr>
        <w:outlineLvl w:val="9"/>
        <w:rPr>
          <w:rFonts w:ascii="Times New Roman"/>
        </w:rPr>
      </w:pPr>
      <w:r>
        <w:rPr>
          <w:rFonts w:ascii="Times New Roman" w:hAnsi="宋体"/>
        </w:rPr>
        <w:t>小型焚烧设施的控制系统应优先选用分散控制系统（DCS）；其次可选用可编程逻辑控制器（PLC）与远程数据采集与监视控制系统（SCADA）相组合的形式；条件有限时，也可选用可编程逻辑控制器（PLC）与现场控制面板相组合的形式</w:t>
      </w:r>
      <w:r>
        <w:rPr>
          <w:rFonts w:hint="eastAsia" w:ascii="Times New Roman" w:hAnsi="宋体"/>
        </w:rPr>
        <w:t>。</w:t>
      </w:r>
    </w:p>
    <w:p w14:paraId="2F56CE36">
      <w:pPr>
        <w:pStyle w:val="98"/>
        <w:spacing w:before="156" w:after="156"/>
        <w:ind w:left="420" w:hanging="420"/>
        <w:outlineLvl w:val="1"/>
        <w:rPr>
          <w:rStyle w:val="97"/>
          <w:rFonts w:ascii="Times New Roman" w:hAnsi="Times New Roman" w:cs="Times New Roman"/>
        </w:rPr>
      </w:pPr>
      <w:bookmarkStart w:id="93" w:name="_Toc240989750"/>
      <w:r>
        <w:rPr>
          <w:rStyle w:val="97"/>
          <w:rFonts w:ascii="Times New Roman" w:hAnsi="Times New Roman" w:cs="Times New Roman"/>
        </w:rPr>
        <w:t>高海拔环境耐受性能</w:t>
      </w:r>
      <w:bookmarkEnd w:id="93"/>
    </w:p>
    <w:p w14:paraId="161CA515">
      <w:pPr>
        <w:numPr>
          <w:ilvl w:val="2"/>
          <w:numId w:val="2"/>
        </w:numPr>
        <w:spacing w:before="50" w:after="50"/>
        <w:rPr>
          <w:kern w:val="0"/>
          <w:szCs w:val="21"/>
        </w:rPr>
      </w:pPr>
      <w:r>
        <w:rPr>
          <w:kern w:val="0"/>
          <w:szCs w:val="21"/>
        </w:rPr>
        <w:t>高海拔环境使用的小型焚烧设施，其风机、水泵等动力电气设备及电气控制、监测仪器仪表，应具备低压、强紫外线、大温差等高海拔环境的耐受性能。</w:t>
      </w:r>
    </w:p>
    <w:p w14:paraId="643AC8CA">
      <w:pPr>
        <w:numPr>
          <w:ilvl w:val="2"/>
          <w:numId w:val="2"/>
        </w:numPr>
        <w:spacing w:before="50" w:after="50"/>
        <w:rPr>
          <w:kern w:val="0"/>
          <w:szCs w:val="21"/>
        </w:rPr>
      </w:pPr>
      <w:r>
        <w:rPr>
          <w:kern w:val="0"/>
          <w:szCs w:val="21"/>
        </w:rPr>
        <w:t>高海拔环境耐受性能应符合GB/T 20626等的规定，满足以下要求：</w:t>
      </w:r>
    </w:p>
    <w:p w14:paraId="654067C0">
      <w:pPr>
        <w:numPr>
          <w:ilvl w:val="0"/>
          <w:numId w:val="10"/>
        </w:numPr>
        <w:tabs>
          <w:tab w:val="center" w:pos="4201"/>
          <w:tab w:val="right" w:leader="dot" w:pos="9298"/>
        </w:tabs>
        <w:autoSpaceDE w:val="0"/>
        <w:autoSpaceDN w:val="0"/>
        <w:jc w:val="both"/>
        <w:rPr>
          <w:rFonts w:eastAsiaTheme="minorEastAsia"/>
          <w:kern w:val="0"/>
          <w:szCs w:val="21"/>
        </w:rPr>
      </w:pPr>
      <w:r>
        <w:rPr>
          <w:rFonts w:hAnsi="宋体" w:eastAsiaTheme="minorEastAsia"/>
          <w:kern w:val="0"/>
          <w:szCs w:val="21"/>
        </w:rPr>
        <w:t>电气结构：电气间隙、爬电距离按海拔修正，防范绝缘下降导致的闪络、爬电故障；</w:t>
      </w:r>
    </w:p>
    <w:p w14:paraId="3D715867">
      <w:pPr>
        <w:numPr>
          <w:ilvl w:val="0"/>
          <w:numId w:val="10"/>
        </w:numPr>
        <w:tabs>
          <w:tab w:val="center" w:pos="4201"/>
          <w:tab w:val="right" w:leader="dot" w:pos="9298"/>
        </w:tabs>
        <w:autoSpaceDE w:val="0"/>
        <w:autoSpaceDN w:val="0"/>
        <w:jc w:val="both"/>
        <w:rPr>
          <w:rFonts w:eastAsiaTheme="minorEastAsia"/>
          <w:kern w:val="0"/>
          <w:szCs w:val="21"/>
        </w:rPr>
      </w:pPr>
      <w:r>
        <w:rPr>
          <w:rFonts w:hAnsi="宋体" w:eastAsiaTheme="minorEastAsia"/>
          <w:kern w:val="0"/>
          <w:szCs w:val="21"/>
        </w:rPr>
        <w:t>绝缘耐受：工频耐受电压、雷电冲击耐受电压、湿态耐受电压按海拔修正；</w:t>
      </w:r>
    </w:p>
    <w:p w14:paraId="0DBE1D37">
      <w:pPr>
        <w:numPr>
          <w:ilvl w:val="0"/>
          <w:numId w:val="10"/>
        </w:numPr>
        <w:tabs>
          <w:tab w:val="center" w:pos="4201"/>
          <w:tab w:val="right" w:leader="dot" w:pos="9298"/>
        </w:tabs>
        <w:autoSpaceDE w:val="0"/>
        <w:autoSpaceDN w:val="0"/>
        <w:jc w:val="both"/>
        <w:rPr>
          <w:rFonts w:eastAsiaTheme="minorEastAsia"/>
          <w:kern w:val="0"/>
          <w:szCs w:val="21"/>
        </w:rPr>
      </w:pPr>
      <w:r>
        <w:rPr>
          <w:rFonts w:hAnsi="宋体" w:eastAsiaTheme="minorEastAsia"/>
          <w:kern w:val="0"/>
          <w:szCs w:val="21"/>
        </w:rPr>
        <w:t>灭弧性能：开关等控制元器件具备良好的灭弧性能，防范触点烧蚀、电弧击穿；</w:t>
      </w:r>
    </w:p>
    <w:p w14:paraId="53C904F0">
      <w:pPr>
        <w:numPr>
          <w:ilvl w:val="0"/>
          <w:numId w:val="10"/>
        </w:numPr>
        <w:tabs>
          <w:tab w:val="center" w:pos="4201"/>
          <w:tab w:val="right" w:leader="dot" w:pos="9298"/>
        </w:tabs>
        <w:autoSpaceDE w:val="0"/>
        <w:autoSpaceDN w:val="0"/>
        <w:jc w:val="both"/>
        <w:rPr>
          <w:rFonts w:eastAsiaTheme="minorEastAsia"/>
          <w:kern w:val="0"/>
          <w:szCs w:val="21"/>
        </w:rPr>
      </w:pPr>
      <w:r>
        <w:rPr>
          <w:rFonts w:hAnsi="宋体" w:eastAsiaTheme="minorEastAsia"/>
          <w:kern w:val="0"/>
          <w:szCs w:val="21"/>
        </w:rPr>
        <w:t>环境耐候：具备良好的抗紫外线、抗热辐射、耐低温、耐高低温交变性能；</w:t>
      </w:r>
    </w:p>
    <w:p w14:paraId="63856519">
      <w:pPr>
        <w:numPr>
          <w:ilvl w:val="0"/>
          <w:numId w:val="10"/>
        </w:numPr>
        <w:tabs>
          <w:tab w:val="center" w:pos="4201"/>
          <w:tab w:val="right" w:leader="dot" w:pos="9298"/>
        </w:tabs>
        <w:autoSpaceDE w:val="0"/>
        <w:autoSpaceDN w:val="0"/>
        <w:jc w:val="both"/>
        <w:rPr>
          <w:rFonts w:eastAsiaTheme="minorEastAsia"/>
          <w:kern w:val="0"/>
          <w:szCs w:val="21"/>
        </w:rPr>
      </w:pPr>
      <w:r>
        <w:rPr>
          <w:rFonts w:hAnsi="宋体" w:eastAsiaTheme="minorEastAsia"/>
          <w:kern w:val="0"/>
          <w:szCs w:val="21"/>
        </w:rPr>
        <w:t>温升控制：采取降容选型、强化散热等措施，防范过热、绝缘加速老化。</w:t>
      </w:r>
    </w:p>
    <w:p w14:paraId="1EE3555A">
      <w:pPr>
        <w:numPr>
          <w:ilvl w:val="2"/>
          <w:numId w:val="2"/>
        </w:numPr>
        <w:spacing w:before="50" w:after="50"/>
        <w:rPr>
          <w:kern w:val="0"/>
          <w:szCs w:val="21"/>
        </w:rPr>
      </w:pPr>
      <w:r>
        <w:rPr>
          <w:kern w:val="0"/>
          <w:szCs w:val="21"/>
        </w:rPr>
        <w:t>高海拔环境耐受性能应在设备供货技术合同、设备铭牌中给出，作为检验和验收的依据。设备适应能力的标识应遵循GB/T 20626的规定。</w:t>
      </w:r>
    </w:p>
    <w:p w14:paraId="5E32C10F">
      <w:pPr>
        <w:pStyle w:val="98"/>
        <w:spacing w:before="156" w:after="156"/>
        <w:ind w:left="420" w:hanging="420"/>
        <w:outlineLvl w:val="1"/>
        <w:rPr>
          <w:rStyle w:val="97"/>
          <w:rFonts w:ascii="Times New Roman" w:hAnsi="Times New Roman" w:cs="Times New Roman"/>
        </w:rPr>
      </w:pPr>
      <w:bookmarkStart w:id="94" w:name="_Toc240989751"/>
      <w:r>
        <w:rPr>
          <w:rStyle w:val="97"/>
          <w:rFonts w:ascii="Times New Roman" w:hAnsi="Times New Roman" w:cs="Times New Roman"/>
        </w:rPr>
        <w:t>其他要求</w:t>
      </w:r>
      <w:bookmarkEnd w:id="94"/>
    </w:p>
    <w:p w14:paraId="1AD5258B">
      <w:pPr>
        <w:pStyle w:val="105"/>
        <w:numPr>
          <w:ilvl w:val="2"/>
          <w:numId w:val="2"/>
        </w:numPr>
        <w:outlineLvl w:val="9"/>
        <w:rPr>
          <w:rFonts w:ascii="Times New Roman"/>
        </w:rPr>
      </w:pPr>
      <w:r>
        <w:rPr>
          <w:rFonts w:ascii="Times New Roman" w:hAnsi="宋体"/>
        </w:rPr>
        <w:t>小型焚烧设施应设置专门的垃圾贮存坑（池），满足以下要求：</w:t>
      </w:r>
    </w:p>
    <w:p w14:paraId="37570773">
      <w:pPr>
        <w:pStyle w:val="96"/>
        <w:numPr>
          <w:ilvl w:val="0"/>
          <w:numId w:val="11"/>
        </w:numPr>
        <w:ind w:firstLineChars="0"/>
        <w:rPr>
          <w:rFonts w:ascii="Times New Roman" w:hAnsi="Times New Roman" w:eastAsia="宋体" w:cs="Times New Roman"/>
        </w:rPr>
      </w:pPr>
      <w:r>
        <w:rPr>
          <w:rFonts w:ascii="Times New Roman" w:eastAsia="宋体" w:cs="Times New Roman"/>
        </w:rPr>
        <w:t>有效容量至少为设计日处理量的</w:t>
      </w:r>
      <w:r>
        <w:rPr>
          <w:rFonts w:ascii="Times New Roman" w:hAnsi="Times New Roman" w:eastAsia="宋体" w:cs="Times New Roman"/>
        </w:rPr>
        <w:t>3</w:t>
      </w:r>
      <w:r>
        <w:rPr>
          <w:rFonts w:ascii="Times New Roman" w:eastAsia="宋体" w:cs="Times New Roman"/>
        </w:rPr>
        <w:t>倍；</w:t>
      </w:r>
    </w:p>
    <w:p w14:paraId="50E80EE6">
      <w:pPr>
        <w:pStyle w:val="96"/>
        <w:numPr>
          <w:ilvl w:val="0"/>
          <w:numId w:val="11"/>
        </w:numPr>
        <w:ind w:firstLineChars="0"/>
        <w:rPr>
          <w:rFonts w:ascii="Times New Roman" w:hAnsi="Times New Roman" w:eastAsia="宋体" w:cs="Times New Roman"/>
        </w:rPr>
      </w:pPr>
      <w:r>
        <w:rPr>
          <w:rFonts w:ascii="Times New Roman" w:eastAsia="宋体" w:cs="Times New Roman"/>
        </w:rPr>
        <w:t>内壁和底部应有防渗、防腐蚀和渗滤液收集导排措施；</w:t>
      </w:r>
    </w:p>
    <w:p w14:paraId="3F45F0DC">
      <w:pPr>
        <w:pStyle w:val="96"/>
        <w:numPr>
          <w:ilvl w:val="0"/>
          <w:numId w:val="11"/>
        </w:numPr>
        <w:ind w:firstLineChars="0"/>
        <w:rPr>
          <w:rFonts w:ascii="Times New Roman" w:hAnsi="Times New Roman" w:eastAsia="宋体" w:cs="Times New Roman"/>
        </w:rPr>
      </w:pPr>
      <w:r>
        <w:rPr>
          <w:rFonts w:ascii="Times New Roman" w:eastAsia="宋体" w:cs="Times New Roman"/>
        </w:rPr>
        <w:t>若使用垃圾抓斗上料，则垃圾贮存坑（池）的净宽度至少为抓斗最大张角直径的</w:t>
      </w:r>
      <w:r>
        <w:rPr>
          <w:rFonts w:ascii="Times New Roman" w:hAnsi="Times New Roman" w:eastAsia="宋体" w:cs="Times New Roman"/>
        </w:rPr>
        <w:t>2.5</w:t>
      </w:r>
      <w:r>
        <w:rPr>
          <w:rFonts w:ascii="Times New Roman" w:eastAsia="宋体" w:cs="Times New Roman"/>
        </w:rPr>
        <w:t>倍。</w:t>
      </w:r>
    </w:p>
    <w:p w14:paraId="2FD86171">
      <w:pPr>
        <w:pStyle w:val="105"/>
        <w:numPr>
          <w:ilvl w:val="2"/>
          <w:numId w:val="2"/>
        </w:numPr>
        <w:outlineLvl w:val="9"/>
        <w:rPr>
          <w:rFonts w:ascii="Times New Roman"/>
        </w:rPr>
      </w:pPr>
      <w:r>
        <w:rPr>
          <w:rFonts w:ascii="Times New Roman" w:hAnsi="宋体"/>
        </w:rPr>
        <w:t>小型焚烧设施应设置废气监测的采样平台，满足</w:t>
      </w:r>
      <w:r>
        <w:rPr>
          <w:rFonts w:ascii="Times New Roman"/>
        </w:rPr>
        <w:t>HJ 1405</w:t>
      </w:r>
      <w:r>
        <w:rPr>
          <w:rFonts w:ascii="Times New Roman" w:hAnsi="宋体"/>
        </w:rPr>
        <w:t>有关废气排放口监测点位设置的技术要求。</w:t>
      </w:r>
    </w:p>
    <w:p w14:paraId="7B2E26CC">
      <w:pPr>
        <w:pStyle w:val="105"/>
        <w:ind w:firstLine="420" w:firstLineChars="200"/>
        <w:outlineLvl w:val="9"/>
        <w:rPr>
          <w:rFonts w:ascii="Times New Roman" w:hAnsi="宋体"/>
          <w:color w:val="0070C0"/>
        </w:rPr>
      </w:pPr>
    </w:p>
    <w:p w14:paraId="244F5370">
      <w:pPr>
        <w:pStyle w:val="105"/>
        <w:numPr>
          <w:ilvl w:val="2"/>
          <w:numId w:val="2"/>
        </w:numPr>
        <w:outlineLvl w:val="9"/>
        <w:rPr>
          <w:rFonts w:ascii="Times New Roman"/>
        </w:rPr>
      </w:pPr>
      <w:r>
        <w:rPr>
          <w:rFonts w:ascii="Times New Roman" w:hAnsi="宋体"/>
        </w:rPr>
        <w:t>主体设备以及贮存可回收物、飞灰、炉渣的场所，均应具有遮阳措施，以减少紫外线的不利影响。容易发生垃圾飘散、扬尘、污水滴漏等现象的工艺单元，应布置在相对隐蔽处。</w:t>
      </w:r>
    </w:p>
    <w:p w14:paraId="21F18A36">
      <w:pPr>
        <w:pStyle w:val="105"/>
        <w:numPr>
          <w:ilvl w:val="2"/>
          <w:numId w:val="2"/>
        </w:numPr>
        <w:outlineLvl w:val="9"/>
        <w:rPr>
          <w:rFonts w:ascii="Times New Roman"/>
        </w:rPr>
      </w:pPr>
      <w:r>
        <w:rPr>
          <w:rFonts w:ascii="Times New Roman"/>
        </w:rPr>
        <w:t>小型焚烧</w:t>
      </w:r>
      <w:r>
        <w:rPr>
          <w:rFonts w:ascii="Times New Roman" w:hAnsi="宋体"/>
        </w:rPr>
        <w:t>设施的火灾危险性类别至少应为乙类，耐火等级不应低于</w:t>
      </w:r>
      <w:r>
        <w:rPr>
          <w:rFonts w:ascii="Times New Roman"/>
        </w:rPr>
        <w:t>GB 50016</w:t>
      </w:r>
      <w:r>
        <w:rPr>
          <w:rFonts w:ascii="Times New Roman" w:hAnsi="宋体"/>
        </w:rPr>
        <w:t>的二级要求，并应配有防火安全设施。</w:t>
      </w:r>
    </w:p>
    <w:p w14:paraId="16C423EE">
      <w:pPr>
        <w:pStyle w:val="101"/>
        <w:spacing w:before="312" w:after="312"/>
        <w:outlineLvl w:val="0"/>
        <w:rPr>
          <w:rFonts w:ascii="Times New Roman"/>
        </w:rPr>
      </w:pPr>
      <w:bookmarkStart w:id="95" w:name="_Toc240989752"/>
      <w:r>
        <w:rPr>
          <w:rFonts w:ascii="Times New Roman"/>
        </w:rPr>
        <w:t>运行阶段的环境风险防控</w:t>
      </w:r>
      <w:bookmarkEnd w:id="92"/>
      <w:bookmarkEnd w:id="95"/>
    </w:p>
    <w:p w14:paraId="0EEA4012">
      <w:pPr>
        <w:pStyle w:val="98"/>
        <w:spacing w:before="156" w:after="156"/>
        <w:outlineLvl w:val="1"/>
        <w:rPr>
          <w:rStyle w:val="97"/>
          <w:rFonts w:ascii="Times New Roman" w:hAnsi="Times New Roman" w:cs="Times New Roman"/>
        </w:rPr>
      </w:pPr>
      <w:bookmarkStart w:id="96" w:name="_Toc240989753"/>
      <w:r>
        <w:rPr>
          <w:rStyle w:val="97"/>
          <w:rFonts w:ascii="Times New Roman" w:hAnsi="Times New Roman" w:cs="Times New Roman"/>
        </w:rPr>
        <w:t>投运前的验收</w:t>
      </w:r>
      <w:bookmarkEnd w:id="96"/>
    </w:p>
    <w:p w14:paraId="54CDA82E">
      <w:pPr>
        <w:pStyle w:val="105"/>
        <w:numPr>
          <w:ilvl w:val="2"/>
          <w:numId w:val="2"/>
        </w:numPr>
        <w:outlineLvl w:val="9"/>
        <w:rPr>
          <w:rFonts w:ascii="Times New Roman"/>
        </w:rPr>
      </w:pPr>
      <w:r>
        <w:rPr>
          <w:rFonts w:ascii="Times New Roman" w:hAnsi="宋体"/>
        </w:rPr>
        <w:t>小型焚烧设施投运前应开展验收，以检验设施设备的技术性能与以下内容的符合性：</w:t>
      </w:r>
    </w:p>
    <w:p w14:paraId="74C4BADF">
      <w:pPr>
        <w:pStyle w:val="96"/>
        <w:numPr>
          <w:ilvl w:val="0"/>
          <w:numId w:val="12"/>
        </w:numPr>
        <w:ind w:firstLineChars="0"/>
        <w:rPr>
          <w:rFonts w:ascii="Times New Roman" w:hAnsi="Times New Roman" w:cs="Times New Roman"/>
        </w:rPr>
      </w:pPr>
      <w:r>
        <w:rPr>
          <w:rFonts w:ascii="Times New Roman" w:cs="Times New Roman"/>
        </w:rPr>
        <w:t>国家有关规定；</w:t>
      </w:r>
    </w:p>
    <w:p w14:paraId="6393ADAA">
      <w:pPr>
        <w:pStyle w:val="96"/>
        <w:numPr>
          <w:ilvl w:val="0"/>
          <w:numId w:val="12"/>
        </w:numPr>
        <w:ind w:firstLineChars="0"/>
        <w:rPr>
          <w:rFonts w:ascii="Times New Roman" w:hAnsi="Times New Roman" w:cs="Times New Roman"/>
        </w:rPr>
      </w:pPr>
      <w:r>
        <w:rPr>
          <w:rFonts w:ascii="Times New Roman" w:cs="Times New Roman"/>
        </w:rPr>
        <w:t>本文件的相关要求；</w:t>
      </w:r>
    </w:p>
    <w:p w14:paraId="37C50152">
      <w:pPr>
        <w:pStyle w:val="96"/>
        <w:numPr>
          <w:ilvl w:val="0"/>
          <w:numId w:val="12"/>
        </w:numPr>
        <w:ind w:firstLineChars="0"/>
        <w:rPr>
          <w:rFonts w:ascii="Times New Roman" w:hAnsi="Times New Roman" w:cs="Times New Roman"/>
        </w:rPr>
      </w:pPr>
      <w:r>
        <w:rPr>
          <w:rFonts w:ascii="Times New Roman" w:cs="Times New Roman"/>
        </w:rPr>
        <w:t>设计文件和环境影响评价文件的要求；</w:t>
      </w:r>
    </w:p>
    <w:p w14:paraId="65F872C0">
      <w:pPr>
        <w:pStyle w:val="96"/>
        <w:numPr>
          <w:ilvl w:val="0"/>
          <w:numId w:val="12"/>
        </w:numPr>
        <w:ind w:firstLineChars="0"/>
        <w:rPr>
          <w:rFonts w:ascii="Times New Roman" w:hAnsi="Times New Roman" w:cs="Times New Roman"/>
        </w:rPr>
      </w:pPr>
      <w:r>
        <w:rPr>
          <w:rFonts w:ascii="Times New Roman" w:cs="Times New Roman"/>
        </w:rPr>
        <w:t>设备供货技术合同的要求。</w:t>
      </w:r>
    </w:p>
    <w:p w14:paraId="41DEC64E">
      <w:pPr>
        <w:pStyle w:val="105"/>
        <w:numPr>
          <w:ilvl w:val="2"/>
          <w:numId w:val="2"/>
        </w:numPr>
        <w:outlineLvl w:val="9"/>
        <w:rPr>
          <w:rFonts w:ascii="Times New Roman"/>
        </w:rPr>
      </w:pPr>
      <w:r>
        <w:rPr>
          <w:rFonts w:ascii="Times New Roman" w:hAnsi="宋体"/>
        </w:rPr>
        <w:t>小型焚烧设施在验收期间应能保证</w:t>
      </w:r>
      <w:r>
        <w:rPr>
          <w:rFonts w:ascii="Times New Roman"/>
        </w:rPr>
        <w:t>7×24h</w:t>
      </w:r>
      <w:r>
        <w:rPr>
          <w:rFonts w:ascii="Times New Roman" w:hAnsi="宋体"/>
        </w:rPr>
        <w:t>连续稳定运行。</w:t>
      </w:r>
    </w:p>
    <w:p w14:paraId="05D3F95D">
      <w:pPr>
        <w:pStyle w:val="98"/>
        <w:spacing w:before="156" w:after="156"/>
        <w:outlineLvl w:val="1"/>
        <w:rPr>
          <w:rStyle w:val="97"/>
          <w:rFonts w:ascii="Times New Roman" w:hAnsi="Times New Roman" w:cs="Times New Roman"/>
        </w:rPr>
      </w:pPr>
      <w:bookmarkStart w:id="97" w:name="_Toc240989754"/>
      <w:r>
        <w:rPr>
          <w:rStyle w:val="97"/>
          <w:rFonts w:ascii="Times New Roman" w:hAnsi="Times New Roman" w:cs="Times New Roman"/>
        </w:rPr>
        <w:t>焚烧炉运行</w:t>
      </w:r>
      <w:bookmarkEnd w:id="97"/>
    </w:p>
    <w:p w14:paraId="7B4979A1">
      <w:pPr>
        <w:pStyle w:val="105"/>
        <w:numPr>
          <w:ilvl w:val="2"/>
          <w:numId w:val="2"/>
        </w:numPr>
        <w:outlineLvl w:val="9"/>
        <w:rPr>
          <w:rFonts w:ascii="Times New Roman"/>
        </w:rPr>
      </w:pPr>
      <w:r>
        <w:rPr>
          <w:rFonts w:ascii="Times New Roman"/>
        </w:rPr>
        <w:t>小型焚烧</w:t>
      </w:r>
      <w:r>
        <w:rPr>
          <w:rFonts w:ascii="Times New Roman" w:hAnsi="宋体"/>
        </w:rPr>
        <w:t>设施</w:t>
      </w:r>
      <w:r>
        <w:rPr>
          <w:rFonts w:ascii="Times New Roman"/>
        </w:rPr>
        <w:t>正常运行期间</w:t>
      </w:r>
      <w:r>
        <w:rPr>
          <w:rFonts w:hint="eastAsia" w:ascii="Times New Roman"/>
        </w:rPr>
        <w:t>的</w:t>
      </w:r>
      <w:r>
        <w:rPr>
          <w:rFonts w:ascii="Times New Roman"/>
        </w:rPr>
        <w:t>关键工况参数应满足以下要求：</w:t>
      </w:r>
    </w:p>
    <w:p w14:paraId="352629EE">
      <w:pPr>
        <w:pStyle w:val="96"/>
        <w:numPr>
          <w:ilvl w:val="0"/>
          <w:numId w:val="13"/>
        </w:numPr>
        <w:ind w:firstLineChars="0"/>
        <w:rPr>
          <w:rFonts w:ascii="Times New Roman" w:hAnsi="Times New Roman" w:eastAsia="宋体" w:cs="Times New Roman"/>
        </w:rPr>
      </w:pPr>
      <w:r>
        <w:rPr>
          <w:rFonts w:ascii="Times New Roman" w:eastAsia="宋体" w:cs="Times New Roman"/>
        </w:rPr>
        <w:t>炉膛压力保持为负压；</w:t>
      </w:r>
    </w:p>
    <w:p w14:paraId="668A4E6A">
      <w:pPr>
        <w:pStyle w:val="96"/>
        <w:numPr>
          <w:ilvl w:val="0"/>
          <w:numId w:val="13"/>
        </w:numPr>
        <w:ind w:firstLineChars="0"/>
        <w:rPr>
          <w:rFonts w:ascii="Times New Roman" w:hAnsi="Times New Roman" w:eastAsia="宋体" w:cs="Times New Roman"/>
        </w:rPr>
      </w:pPr>
      <w:r>
        <w:rPr>
          <w:rFonts w:ascii="Times New Roman" w:eastAsia="宋体" w:cs="Times New Roman"/>
        </w:rPr>
        <w:t>二次燃烧室各测温断面</w:t>
      </w:r>
      <w:r>
        <w:rPr>
          <w:rFonts w:hint="eastAsia" w:ascii="Times New Roman" w:eastAsia="宋体" w:cs="Times New Roman"/>
        </w:rPr>
        <w:t>的</w:t>
      </w:r>
      <w:r>
        <w:rPr>
          <w:rFonts w:ascii="Times New Roman" w:eastAsia="宋体" w:cs="Times New Roman"/>
        </w:rPr>
        <w:t>温度不低于</w:t>
      </w:r>
      <w:r>
        <w:rPr>
          <w:rFonts w:ascii="Times New Roman" w:hAnsi="Times New Roman" w:eastAsia="宋体" w:cs="Times New Roman"/>
        </w:rPr>
        <w:t>850℃</w:t>
      </w:r>
      <w:r>
        <w:rPr>
          <w:rFonts w:ascii="Times New Roman" w:eastAsia="宋体" w:cs="Times New Roman"/>
        </w:rPr>
        <w:t>；</w:t>
      </w:r>
    </w:p>
    <w:p w14:paraId="178E01FB">
      <w:pPr>
        <w:pStyle w:val="96"/>
        <w:numPr>
          <w:ilvl w:val="0"/>
          <w:numId w:val="13"/>
        </w:numPr>
        <w:ind w:firstLineChars="0"/>
        <w:rPr>
          <w:rFonts w:ascii="Times New Roman" w:hAnsi="Times New Roman" w:eastAsia="宋体" w:cs="Times New Roman"/>
        </w:rPr>
      </w:pPr>
      <w:r>
        <w:rPr>
          <w:rFonts w:ascii="Times New Roman" w:eastAsia="宋体" w:cs="Times New Roman"/>
        </w:rPr>
        <w:t>烟气氧含量不高于</w:t>
      </w:r>
      <w:r>
        <w:rPr>
          <w:rFonts w:ascii="Times New Roman" w:hAnsi="Times New Roman" w:eastAsia="宋体" w:cs="Times New Roman"/>
        </w:rPr>
        <w:t>12%</w:t>
      </w:r>
      <w:r>
        <w:rPr>
          <w:rFonts w:ascii="Times New Roman" w:eastAsia="宋体" w:cs="Times New Roman"/>
        </w:rPr>
        <w:t>。</w:t>
      </w:r>
    </w:p>
    <w:p w14:paraId="73EECD11">
      <w:pPr>
        <w:pStyle w:val="105"/>
        <w:numPr>
          <w:ilvl w:val="2"/>
          <w:numId w:val="2"/>
        </w:numPr>
        <w:outlineLvl w:val="9"/>
        <w:rPr>
          <w:rFonts w:ascii="Times New Roman"/>
        </w:rPr>
      </w:pPr>
      <w:r>
        <w:rPr>
          <w:rFonts w:ascii="Times New Roman"/>
        </w:rPr>
        <w:t>小型焚烧</w:t>
      </w:r>
      <w:r>
        <w:rPr>
          <w:rFonts w:ascii="Times New Roman" w:hAnsi="宋体"/>
        </w:rPr>
        <w:t>设施</w:t>
      </w:r>
      <w:r>
        <w:rPr>
          <w:rFonts w:ascii="Times New Roman"/>
        </w:rPr>
        <w:t>正常运行期间，焚烧炉渣的热灼减率不应超过5%。</w:t>
      </w:r>
    </w:p>
    <w:p w14:paraId="23D0BD99">
      <w:pPr>
        <w:pStyle w:val="105"/>
        <w:numPr>
          <w:ilvl w:val="2"/>
          <w:numId w:val="2"/>
        </w:numPr>
        <w:outlineLvl w:val="9"/>
        <w:rPr>
          <w:rFonts w:ascii="Times New Roman"/>
        </w:rPr>
      </w:pPr>
      <w:r>
        <w:rPr>
          <w:rFonts w:hint="eastAsia" w:ascii="Times New Roman"/>
        </w:rPr>
        <w:t>小型焚烧设施应采用连续运行方式，在确保设施安全的前提下尽量减少启停次数。</w:t>
      </w:r>
    </w:p>
    <w:p w14:paraId="206CBB29">
      <w:pPr>
        <w:pStyle w:val="98"/>
        <w:spacing w:before="156" w:after="156"/>
        <w:outlineLvl w:val="1"/>
        <w:rPr>
          <w:rStyle w:val="97"/>
          <w:rFonts w:ascii="Times New Roman" w:hAnsi="Times New Roman" w:cs="Times New Roman"/>
        </w:rPr>
      </w:pPr>
      <w:bookmarkStart w:id="98" w:name="_Toc240989755"/>
      <w:r>
        <w:rPr>
          <w:rStyle w:val="97"/>
          <w:rFonts w:ascii="Times New Roman" w:hAnsi="Times New Roman" w:cs="Times New Roman"/>
        </w:rPr>
        <w:t>烟气净化</w:t>
      </w:r>
      <w:bookmarkEnd w:id="98"/>
    </w:p>
    <w:p w14:paraId="16354ECD">
      <w:pPr>
        <w:pStyle w:val="105"/>
        <w:numPr>
          <w:ilvl w:val="2"/>
          <w:numId w:val="2"/>
        </w:numPr>
        <w:outlineLvl w:val="9"/>
        <w:rPr>
          <w:rFonts w:ascii="Times New Roman"/>
        </w:rPr>
      </w:pPr>
      <w:r>
        <w:rPr>
          <w:rFonts w:ascii="Times New Roman"/>
        </w:rPr>
        <w:t>小型焚烧设施运行时宜通过入炉前分选杂质、炉内掺烧添加剂等方式，抑制污染物的炉内生成。</w:t>
      </w:r>
    </w:p>
    <w:p w14:paraId="6005F257">
      <w:pPr>
        <w:pStyle w:val="105"/>
        <w:numPr>
          <w:ilvl w:val="2"/>
          <w:numId w:val="2"/>
        </w:numPr>
        <w:outlineLvl w:val="9"/>
        <w:rPr>
          <w:rFonts w:ascii="Times New Roman"/>
        </w:rPr>
      </w:pPr>
      <w:r>
        <w:rPr>
          <w:rFonts w:hint="eastAsia" w:ascii="Times New Roman"/>
        </w:rPr>
        <w:t>烟气中一氧化碳、焦油、二噁英类的控制应以优化燃烧工况为主，通过提高二次燃烧室温度、确保工况稳定，提高其焚毁去除率</w:t>
      </w:r>
      <w:r>
        <w:rPr>
          <w:rFonts w:ascii="Times New Roman"/>
        </w:rPr>
        <w:t>。</w:t>
      </w:r>
    </w:p>
    <w:p w14:paraId="5C2FABB3">
      <w:pPr>
        <w:pStyle w:val="105"/>
        <w:numPr>
          <w:ilvl w:val="2"/>
          <w:numId w:val="2"/>
        </w:numPr>
        <w:outlineLvl w:val="9"/>
        <w:rPr>
          <w:rFonts w:ascii="Times New Roman"/>
        </w:rPr>
      </w:pPr>
      <w:r>
        <w:rPr>
          <w:rFonts w:ascii="Times New Roman"/>
        </w:rPr>
        <w:t>烟气中氮氧化物的控制应以优化燃烧工况为主，通过控制烟气氧含量和燃烧室温度来降低氮氧化物的源头生成浓度</w:t>
      </w:r>
      <w:r>
        <w:rPr>
          <w:rFonts w:hint="eastAsia" w:ascii="Times New Roman"/>
        </w:rPr>
        <w:t>。采用选择性非催化还原法（S</w:t>
      </w:r>
      <w:r>
        <w:rPr>
          <w:rFonts w:ascii="Times New Roman"/>
        </w:rPr>
        <w:t>NCR</w:t>
      </w:r>
      <w:r>
        <w:rPr>
          <w:rFonts w:hint="eastAsia" w:ascii="Times New Roman"/>
        </w:rPr>
        <w:t>）脱硝措施的，应保证足量且连续的脱硝药剂投入，</w:t>
      </w:r>
      <w:r>
        <w:rPr>
          <w:rFonts w:ascii="Times New Roman"/>
        </w:rPr>
        <w:t>降低氮氧化物的排放浓度。</w:t>
      </w:r>
    </w:p>
    <w:p w14:paraId="7F0C8CB0">
      <w:pPr>
        <w:pStyle w:val="105"/>
        <w:numPr>
          <w:ilvl w:val="2"/>
          <w:numId w:val="2"/>
        </w:numPr>
        <w:outlineLvl w:val="9"/>
        <w:rPr>
          <w:rFonts w:ascii="Times New Roman"/>
        </w:rPr>
      </w:pPr>
      <w:r>
        <w:rPr>
          <w:rFonts w:ascii="Times New Roman"/>
        </w:rPr>
        <w:t>烟气</w:t>
      </w:r>
      <w:r>
        <w:rPr>
          <w:rFonts w:hint="eastAsia" w:ascii="Times New Roman"/>
        </w:rPr>
        <w:t>脱酸单元应保证足量且连续的脱酸药剂投入，以降低</w:t>
      </w:r>
      <w:r>
        <w:rPr>
          <w:rFonts w:ascii="Times New Roman"/>
        </w:rPr>
        <w:t>二氧化硫、氯化氢的排放浓度</w:t>
      </w:r>
      <w:r>
        <w:rPr>
          <w:rFonts w:hint="eastAsia" w:ascii="Times New Roman"/>
        </w:rPr>
        <w:t>；</w:t>
      </w:r>
      <w:r>
        <w:rPr>
          <w:rFonts w:ascii="Times New Roman"/>
        </w:rPr>
        <w:t>产生的焚烧飞灰</w:t>
      </w:r>
      <w:r>
        <w:rPr>
          <w:rFonts w:hint="eastAsia" w:ascii="Times New Roman"/>
        </w:rPr>
        <w:t>和</w:t>
      </w:r>
      <w:r>
        <w:rPr>
          <w:rFonts w:ascii="Times New Roman"/>
        </w:rPr>
        <w:t>废水应妥善处理。</w:t>
      </w:r>
    </w:p>
    <w:p w14:paraId="789DA787">
      <w:pPr>
        <w:pStyle w:val="105"/>
        <w:numPr>
          <w:ilvl w:val="2"/>
          <w:numId w:val="2"/>
        </w:numPr>
        <w:outlineLvl w:val="9"/>
        <w:rPr>
          <w:rFonts w:ascii="Times New Roman"/>
        </w:rPr>
      </w:pPr>
      <w:r>
        <w:rPr>
          <w:rFonts w:hint="eastAsia"/>
        </w:rPr>
        <w:t>烟气除尘单元应保证合理的</w:t>
      </w:r>
      <w:r>
        <w:rPr>
          <w:rFonts w:hint="eastAsia" w:ascii="Times New Roman"/>
        </w:rPr>
        <w:t>压差</w:t>
      </w:r>
      <w:r>
        <w:rPr>
          <w:rFonts w:hint="eastAsia"/>
        </w:rPr>
        <w:t>，</w:t>
      </w:r>
      <w:r>
        <w:rPr>
          <w:rFonts w:hint="eastAsia" w:ascii="Times New Roman"/>
        </w:rPr>
        <w:t>产生的焚烧飞灰、废水和焦块应妥善处理</w:t>
      </w:r>
      <w:r>
        <w:rPr>
          <w:rFonts w:ascii="Times New Roman"/>
        </w:rPr>
        <w:t>。</w:t>
      </w:r>
      <w:r>
        <w:t>袋式除尘器的技术性能应符</w:t>
      </w:r>
      <w:r>
        <w:rPr>
          <w:rFonts w:hint="eastAsia" w:ascii="Times New Roman"/>
        </w:rPr>
        <w:t>合</w:t>
      </w:r>
      <w:r>
        <w:rPr>
          <w:rFonts w:ascii="Times New Roman"/>
        </w:rPr>
        <w:t xml:space="preserve"> HJ 2012 </w:t>
      </w:r>
      <w:r>
        <w:rPr>
          <w:rFonts w:hint="eastAsia" w:ascii="Times New Roman"/>
        </w:rPr>
        <w:t>的规定，电除尘器的技术性能应符合 HJ 2039 的规定。</w:t>
      </w:r>
    </w:p>
    <w:p w14:paraId="57556C70">
      <w:pPr>
        <w:pStyle w:val="98"/>
        <w:spacing w:before="156" w:after="156"/>
        <w:outlineLvl w:val="1"/>
        <w:rPr>
          <w:rStyle w:val="97"/>
          <w:rFonts w:ascii="Times New Roman" w:hAnsi="Times New Roman" w:cs="Times New Roman"/>
        </w:rPr>
      </w:pPr>
      <w:bookmarkStart w:id="99" w:name="_Toc240989756"/>
      <w:r>
        <w:rPr>
          <w:rStyle w:val="97"/>
          <w:rFonts w:ascii="Times New Roman" w:hAnsi="Times New Roman" w:cs="Times New Roman"/>
        </w:rPr>
        <w:t>次生污染物处理</w:t>
      </w:r>
      <w:bookmarkEnd w:id="99"/>
    </w:p>
    <w:p w14:paraId="16A39B1A">
      <w:pPr>
        <w:pStyle w:val="105"/>
        <w:numPr>
          <w:ilvl w:val="2"/>
          <w:numId w:val="2"/>
        </w:numPr>
        <w:outlineLvl w:val="9"/>
        <w:rPr>
          <w:rFonts w:ascii="Times New Roman"/>
        </w:rPr>
      </w:pPr>
      <w:r>
        <w:rPr>
          <w:rFonts w:ascii="Times New Roman"/>
        </w:rPr>
        <w:t>小型焚烧设施产生的次生固体废物应分类收集后妥善处置，不应施用于农田、林地，具体要求如下：</w:t>
      </w:r>
    </w:p>
    <w:p w14:paraId="10618D68">
      <w:pPr>
        <w:pStyle w:val="96"/>
        <w:numPr>
          <w:ilvl w:val="0"/>
          <w:numId w:val="14"/>
        </w:numPr>
        <w:ind w:firstLineChars="0"/>
        <w:rPr>
          <w:rFonts w:ascii="Times New Roman" w:hAnsi="Times New Roman" w:cs="Times New Roman"/>
        </w:rPr>
      </w:pPr>
      <w:r>
        <w:rPr>
          <w:rFonts w:ascii="Times New Roman" w:cs="Times New Roman"/>
        </w:rPr>
        <w:t>焚烧飞灰应在螯合稳定化处理后，运至</w:t>
      </w:r>
      <w:r>
        <w:rPr>
          <w:rFonts w:hint="eastAsia" w:ascii="Times New Roman" w:cs="Times New Roman"/>
        </w:rPr>
        <w:t>卫生</w:t>
      </w:r>
      <w:r>
        <w:rPr>
          <w:rFonts w:ascii="Times New Roman" w:cs="Times New Roman"/>
        </w:rPr>
        <w:t>填埋场填埋处置；</w:t>
      </w:r>
    </w:p>
    <w:p w14:paraId="0B509024">
      <w:pPr>
        <w:pStyle w:val="96"/>
        <w:numPr>
          <w:ilvl w:val="0"/>
          <w:numId w:val="14"/>
        </w:numPr>
        <w:ind w:firstLineChars="0"/>
        <w:rPr>
          <w:rFonts w:ascii="Times New Roman" w:hAnsi="Times New Roman" w:cs="Times New Roman"/>
        </w:rPr>
      </w:pPr>
      <w:r>
        <w:rPr>
          <w:rFonts w:hint="eastAsia" w:ascii="Times New Roman" w:cs="Times New Roman"/>
        </w:rPr>
        <w:t>单炉焚烧能力小于30t/d的焚烧炉产生的焚烧炉渣应运至卫生填埋场填埋处置；</w:t>
      </w:r>
    </w:p>
    <w:p w14:paraId="07F36C56">
      <w:pPr>
        <w:pStyle w:val="96"/>
        <w:numPr>
          <w:ilvl w:val="0"/>
          <w:numId w:val="14"/>
        </w:numPr>
        <w:ind w:firstLineChars="0"/>
        <w:rPr>
          <w:rFonts w:ascii="Times New Roman" w:hAnsi="Times New Roman" w:cs="Times New Roman"/>
        </w:rPr>
      </w:pPr>
      <w:r>
        <w:rPr>
          <w:rFonts w:hint="eastAsia" w:ascii="Times New Roman" w:cs="Times New Roman"/>
        </w:rPr>
        <w:t>单炉焚烧能力小于30t/d的焚烧炉产生的</w:t>
      </w:r>
      <w:r>
        <w:rPr>
          <w:rFonts w:ascii="Times New Roman" w:cs="Times New Roman"/>
        </w:rPr>
        <w:t>焦油焦块采用防渗包装袋封装后，运至卫生填埋场填埋处置。</w:t>
      </w:r>
    </w:p>
    <w:p w14:paraId="0FBC8007">
      <w:pPr>
        <w:pStyle w:val="105"/>
        <w:numPr>
          <w:ilvl w:val="2"/>
          <w:numId w:val="2"/>
        </w:numPr>
        <w:outlineLvl w:val="9"/>
        <w:rPr>
          <w:rFonts w:ascii="Times New Roman"/>
        </w:rPr>
      </w:pPr>
      <w:r>
        <w:rPr>
          <w:rFonts w:ascii="Times New Roman"/>
        </w:rPr>
        <w:t>小型焚烧设施运行产生的污水宜通过沉淀、过滤、回用等手段，尽可能实现污水零排放；不能实现污水零排放的，应自建污水处理设施或运至污水处理厂处理。自建污水处理设施的出水水质应能满</w:t>
      </w:r>
      <w:r>
        <w:rPr>
          <w:rFonts w:ascii="Times New Roman" w:hAnsiTheme="minorEastAsia" w:eastAsiaTheme="minorEastAsia"/>
        </w:rPr>
        <w:t>足</w:t>
      </w:r>
      <w:r>
        <w:rPr>
          <w:rFonts w:ascii="Times New Roman" w:eastAsiaTheme="minorEastAsia"/>
        </w:rPr>
        <w:t>GB 16889</w:t>
      </w:r>
      <w:r>
        <w:rPr>
          <w:rFonts w:ascii="Times New Roman" w:hAnsiTheme="minorEastAsia" w:eastAsiaTheme="minorEastAsia"/>
        </w:rPr>
        <w:t>的</w:t>
      </w:r>
      <w:r>
        <w:rPr>
          <w:rFonts w:ascii="Times New Roman"/>
        </w:rPr>
        <w:t>有关要求。</w:t>
      </w:r>
    </w:p>
    <w:p w14:paraId="0166A6EA">
      <w:pPr>
        <w:pStyle w:val="101"/>
        <w:spacing w:before="312" w:after="312"/>
        <w:outlineLvl w:val="0"/>
        <w:rPr>
          <w:rFonts w:ascii="Times New Roman"/>
        </w:rPr>
      </w:pPr>
      <w:bookmarkStart w:id="100" w:name="_Toc9569"/>
      <w:bookmarkStart w:id="101" w:name="_Toc240989757"/>
      <w:r>
        <w:rPr>
          <w:rFonts w:ascii="Times New Roman"/>
        </w:rPr>
        <w:t>环境</w:t>
      </w:r>
      <w:bookmarkEnd w:id="100"/>
      <w:r>
        <w:rPr>
          <w:rFonts w:ascii="Times New Roman"/>
        </w:rPr>
        <w:t>风险监测和评估</w:t>
      </w:r>
      <w:bookmarkEnd w:id="101"/>
    </w:p>
    <w:p w14:paraId="37C18334">
      <w:pPr>
        <w:pStyle w:val="98"/>
        <w:spacing w:before="156" w:after="156"/>
        <w:outlineLvl w:val="1"/>
        <w:rPr>
          <w:rStyle w:val="97"/>
          <w:rFonts w:ascii="Times New Roman" w:hAnsi="Times New Roman" w:cs="Times New Roman"/>
        </w:rPr>
      </w:pPr>
      <w:bookmarkStart w:id="102" w:name="_Toc240989758"/>
      <w:r>
        <w:rPr>
          <w:rStyle w:val="97"/>
          <w:rFonts w:ascii="Times New Roman" w:hAnsi="Times New Roman" w:cs="Times New Roman"/>
        </w:rPr>
        <w:t>环境风险监测</w:t>
      </w:r>
      <w:bookmarkEnd w:id="102"/>
    </w:p>
    <w:p w14:paraId="2DAEA8CA">
      <w:pPr>
        <w:pStyle w:val="105"/>
        <w:numPr>
          <w:ilvl w:val="2"/>
          <w:numId w:val="2"/>
        </w:numPr>
        <w:outlineLvl w:val="9"/>
        <w:rPr>
          <w:rFonts w:ascii="Times New Roman"/>
        </w:rPr>
      </w:pPr>
      <w:r>
        <w:rPr>
          <w:rFonts w:ascii="Times New Roman"/>
        </w:rPr>
        <w:t>小型焚烧设施烟气污染物的环境风险防控限值按照西藏自治区的有关求进行差异化管控。环境风险防控限值采用以11%（v/v %）的氧含量为基准氧含量折算后的折算排放浓度。</w:t>
      </w:r>
    </w:p>
    <w:p w14:paraId="4E4315AC">
      <w:pPr>
        <w:pStyle w:val="105"/>
        <w:numPr>
          <w:ilvl w:val="2"/>
          <w:numId w:val="2"/>
        </w:numPr>
        <w:outlineLvl w:val="9"/>
        <w:rPr>
          <w:rFonts w:ascii="Times New Roman"/>
        </w:rPr>
      </w:pPr>
      <w:r>
        <w:rPr>
          <w:rFonts w:ascii="Times New Roman"/>
        </w:rPr>
        <w:t>小型焚烧设施应制定自行监测方案，并上报县级以上环境主管部门备案，明确监测点位、监测指标、监测频次、监测方法。各指标的监测方法应符合GB 18485的规定。</w:t>
      </w:r>
    </w:p>
    <w:p w14:paraId="02EA248F">
      <w:pPr>
        <w:pStyle w:val="105"/>
        <w:numPr>
          <w:ilvl w:val="2"/>
          <w:numId w:val="2"/>
        </w:numPr>
        <w:outlineLvl w:val="9"/>
        <w:rPr>
          <w:rFonts w:ascii="Times New Roman"/>
        </w:rPr>
      </w:pPr>
      <w:r>
        <w:rPr>
          <w:rFonts w:ascii="Times New Roman"/>
        </w:rPr>
        <w:t>小型焚烧设施应在投运前的验收中对表1的全部指标进行全面监测。</w:t>
      </w:r>
    </w:p>
    <w:p w14:paraId="4DF99B4F">
      <w:pPr>
        <w:pStyle w:val="105"/>
        <w:numPr>
          <w:ilvl w:val="2"/>
          <w:numId w:val="2"/>
        </w:numPr>
        <w:outlineLvl w:val="9"/>
        <w:rPr>
          <w:rFonts w:ascii="Times New Roman"/>
        </w:rPr>
      </w:pPr>
      <w:r>
        <w:rPr>
          <w:rFonts w:ascii="Times New Roman" w:hAnsi="宋体"/>
        </w:rPr>
        <w:t>单炉焚烧能力</w:t>
      </w:r>
      <w:r>
        <w:rPr>
          <w:rFonts w:hint="eastAsia" w:ascii="Times New Roman"/>
        </w:rPr>
        <w:t>大于等于</w:t>
      </w:r>
      <w:r>
        <w:rPr>
          <w:rFonts w:ascii="Times New Roman"/>
        </w:rPr>
        <w:t>30t/d</w:t>
      </w:r>
      <w:r>
        <w:rPr>
          <w:rFonts w:hint="eastAsia" w:ascii="Times New Roman" w:hAnsi="宋体"/>
        </w:rPr>
        <w:t>的小型焚烧设施应为每台焚烧炉</w:t>
      </w:r>
      <w:r>
        <w:rPr>
          <w:rFonts w:ascii="Times New Roman" w:hAnsi="宋体"/>
        </w:rPr>
        <w:t>安装烟气污染物自动监测设备（</w:t>
      </w:r>
      <w:r>
        <w:rPr>
          <w:rFonts w:ascii="Times New Roman"/>
        </w:rPr>
        <w:t>CEMS</w:t>
      </w:r>
      <w:r>
        <w:rPr>
          <w:rFonts w:ascii="Times New Roman" w:hAnsi="宋体"/>
        </w:rPr>
        <w:t>），实时监测表</w:t>
      </w:r>
      <w:r>
        <w:rPr>
          <w:rFonts w:ascii="Times New Roman"/>
        </w:rPr>
        <w:t>1</w:t>
      </w:r>
      <w:r>
        <w:rPr>
          <w:rFonts w:ascii="Times New Roman" w:hAnsi="宋体"/>
        </w:rPr>
        <w:t>规定的前</w:t>
      </w:r>
      <w:r>
        <w:rPr>
          <w:rFonts w:ascii="Times New Roman"/>
        </w:rPr>
        <w:t>5</w:t>
      </w:r>
      <w:r>
        <w:rPr>
          <w:rFonts w:ascii="Times New Roman" w:hAnsi="宋体"/>
        </w:rPr>
        <w:t>项指标以及烟气氧含量、烟气温度、烟气流速、烟气流量等烟气参数指标。</w:t>
      </w:r>
    </w:p>
    <w:p w14:paraId="1796EBA3">
      <w:pPr>
        <w:pStyle w:val="105"/>
        <w:numPr>
          <w:ilvl w:val="2"/>
          <w:numId w:val="2"/>
        </w:numPr>
        <w:outlineLvl w:val="9"/>
        <w:rPr>
          <w:rFonts w:ascii="Times New Roman"/>
        </w:rPr>
      </w:pPr>
      <w:r>
        <w:rPr>
          <w:rFonts w:ascii="Times New Roman" w:hAnsi="宋体"/>
        </w:rPr>
        <w:t>小型焚烧设施自建</w:t>
      </w:r>
      <w:r>
        <w:rPr>
          <w:rFonts w:hint="eastAsia" w:ascii="Times New Roman" w:hAnsi="宋体"/>
        </w:rPr>
        <w:t>的</w:t>
      </w:r>
      <w:r>
        <w:rPr>
          <w:rFonts w:ascii="Times New Roman" w:hAnsi="宋体"/>
        </w:rPr>
        <w:t>废水处理设施</w:t>
      </w:r>
      <w:r>
        <w:rPr>
          <w:rFonts w:hint="eastAsia" w:ascii="Times New Roman" w:hAnsi="宋体"/>
        </w:rPr>
        <w:t>应满足</w:t>
      </w:r>
      <w:r>
        <w:rPr>
          <w:rFonts w:ascii="Times New Roman"/>
        </w:rPr>
        <w:t>GB 16889</w:t>
      </w:r>
      <w:r>
        <w:rPr>
          <w:rFonts w:ascii="Times New Roman" w:hAnsi="宋体"/>
        </w:rPr>
        <w:t>的</w:t>
      </w:r>
      <w:r>
        <w:rPr>
          <w:rFonts w:hint="eastAsia" w:ascii="Times New Roman" w:hAnsi="宋体"/>
        </w:rPr>
        <w:t>相关</w:t>
      </w:r>
      <w:r>
        <w:rPr>
          <w:rFonts w:ascii="Times New Roman" w:hAnsi="宋体"/>
        </w:rPr>
        <w:t>规定。</w:t>
      </w:r>
    </w:p>
    <w:p w14:paraId="4FAEDEA3">
      <w:pPr>
        <w:pStyle w:val="13"/>
        <w:jc w:val="center"/>
        <w:rPr>
          <w:rFonts w:ascii="Times New Roman" w:hAnsi="Times New Roman" w:cs="Times New Roman"/>
        </w:rPr>
      </w:pPr>
      <w:r>
        <w:rPr>
          <w:rFonts w:ascii="Times New Roman" w:hAnsi="Times New Roman" w:cs="Times New Roman"/>
        </w:rPr>
        <w:t xml:space="preserve">表 </w:t>
      </w:r>
      <w:r>
        <w:rPr>
          <w:rFonts w:ascii="Times New Roman" w:hAnsi="Times New Roman" w:cs="Times New Roman"/>
        </w:rPr>
        <w:fldChar w:fldCharType="begin"/>
      </w:r>
      <w:r>
        <w:rPr>
          <w:rFonts w:ascii="Times New Roman" w:hAnsi="Times New Roman" w:cs="Times New Roman"/>
        </w:rPr>
        <w:instrText xml:space="preserve"> SEQ 表 \* ARABIC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t xml:space="preserve">  小型生活垃圾焚烧处理设施环境风险防控的重点关注指标</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034"/>
        <w:gridCol w:w="4404"/>
        <w:gridCol w:w="2016"/>
        <w:gridCol w:w="2014"/>
      </w:tblGrid>
      <w:tr w14:paraId="54119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blHeader/>
        </w:trPr>
        <w:tc>
          <w:tcPr>
            <w:tcW w:w="380" w:type="pct"/>
            <w:vMerge w:val="restart"/>
            <w:vAlign w:val="center"/>
          </w:tcPr>
          <w:p w14:paraId="44EFE7B1">
            <w:pPr>
              <w:pStyle w:val="105"/>
              <w:jc w:val="center"/>
              <w:outlineLvl w:val="9"/>
              <w:rPr>
                <w:rFonts w:ascii="Times New Roman"/>
                <w:sz w:val="20"/>
                <w:lang w:val="en-GB" w:eastAsia="en-GB"/>
              </w:rPr>
            </w:pPr>
            <w:r>
              <w:rPr>
                <w:rFonts w:ascii="Times New Roman"/>
                <w:sz w:val="20"/>
                <w:lang w:val="en-GB" w:eastAsia="en-GB"/>
              </w:rPr>
              <w:t>序号</w:t>
            </w:r>
          </w:p>
        </w:tc>
        <w:tc>
          <w:tcPr>
            <w:tcW w:w="2381" w:type="pct"/>
            <w:vMerge w:val="restart"/>
            <w:vAlign w:val="center"/>
          </w:tcPr>
          <w:p w14:paraId="3C84183F">
            <w:pPr>
              <w:pStyle w:val="105"/>
              <w:jc w:val="center"/>
              <w:outlineLvl w:val="9"/>
              <w:rPr>
                <w:rFonts w:ascii="Times New Roman"/>
                <w:sz w:val="20"/>
                <w:lang w:val="en-GB" w:eastAsia="en-GB"/>
              </w:rPr>
            </w:pPr>
            <w:r>
              <w:rPr>
                <w:rFonts w:ascii="Times New Roman"/>
                <w:sz w:val="20"/>
                <w:lang w:val="en-GB" w:eastAsia="en-GB"/>
              </w:rPr>
              <w:t>污染物项目</w:t>
            </w:r>
          </w:p>
        </w:tc>
        <w:tc>
          <w:tcPr>
            <w:tcW w:w="2239" w:type="pct"/>
            <w:gridSpan w:val="2"/>
            <w:vAlign w:val="center"/>
          </w:tcPr>
          <w:p w14:paraId="094A80BE">
            <w:pPr>
              <w:pStyle w:val="105"/>
              <w:jc w:val="center"/>
              <w:outlineLvl w:val="9"/>
              <w:rPr>
                <w:rFonts w:ascii="Times New Roman"/>
                <w:sz w:val="20"/>
                <w:lang w:val="en-GB" w:eastAsia="en-GB"/>
              </w:rPr>
            </w:pPr>
            <w:r>
              <w:rPr>
                <w:rFonts w:hint="eastAsia" w:ascii="Times New Roman"/>
                <w:sz w:val="20"/>
                <w:lang w:val="en-GB" w:eastAsia="en-GB"/>
              </w:rPr>
              <w:t>排放风险</w:t>
            </w:r>
            <w:r>
              <w:rPr>
                <w:rFonts w:ascii="Times New Roman"/>
                <w:sz w:val="20"/>
                <w:lang w:val="en-GB" w:eastAsia="en-GB"/>
              </w:rPr>
              <w:t>防控值</w:t>
            </w:r>
          </w:p>
        </w:tc>
      </w:tr>
      <w:tr w14:paraId="1CF9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blHeader/>
        </w:trPr>
        <w:tc>
          <w:tcPr>
            <w:tcW w:w="380" w:type="pct"/>
            <w:vMerge w:val="continue"/>
            <w:vAlign w:val="center"/>
          </w:tcPr>
          <w:p w14:paraId="761745A6">
            <w:pPr>
              <w:pStyle w:val="105"/>
              <w:jc w:val="center"/>
              <w:outlineLvl w:val="9"/>
              <w:rPr>
                <w:rFonts w:ascii="Times New Roman"/>
                <w:sz w:val="20"/>
                <w:lang w:val="en-GB" w:eastAsia="en-GB"/>
              </w:rPr>
            </w:pPr>
          </w:p>
        </w:tc>
        <w:tc>
          <w:tcPr>
            <w:tcW w:w="2381" w:type="pct"/>
            <w:vMerge w:val="continue"/>
            <w:vAlign w:val="center"/>
          </w:tcPr>
          <w:p w14:paraId="2FA3EDDB">
            <w:pPr>
              <w:pStyle w:val="105"/>
              <w:jc w:val="center"/>
              <w:outlineLvl w:val="9"/>
              <w:rPr>
                <w:rFonts w:ascii="Times New Roman"/>
                <w:sz w:val="20"/>
                <w:lang w:val="en-GB" w:eastAsia="en-GB"/>
              </w:rPr>
            </w:pPr>
          </w:p>
        </w:tc>
        <w:tc>
          <w:tcPr>
            <w:tcW w:w="1120" w:type="pct"/>
            <w:vAlign w:val="center"/>
          </w:tcPr>
          <w:p w14:paraId="097B41CB">
            <w:pPr>
              <w:pStyle w:val="105"/>
              <w:jc w:val="center"/>
              <w:outlineLvl w:val="9"/>
              <w:rPr>
                <w:rFonts w:ascii="Times New Roman"/>
                <w:sz w:val="20"/>
                <w:lang w:val="en-GB" w:eastAsia="en-GB"/>
              </w:rPr>
            </w:pPr>
            <w:r>
              <w:rPr>
                <w:rFonts w:ascii="Times New Roman"/>
                <w:sz w:val="20"/>
                <w:lang w:val="en-GB" w:eastAsia="en-GB"/>
              </w:rPr>
              <w:t>海拔≤2500m</w:t>
            </w:r>
          </w:p>
        </w:tc>
        <w:tc>
          <w:tcPr>
            <w:tcW w:w="1119" w:type="pct"/>
            <w:vAlign w:val="center"/>
          </w:tcPr>
          <w:p w14:paraId="2069B0B0">
            <w:pPr>
              <w:pStyle w:val="105"/>
              <w:jc w:val="center"/>
              <w:outlineLvl w:val="9"/>
              <w:rPr>
                <w:rFonts w:ascii="Times New Roman"/>
                <w:sz w:val="20"/>
                <w:lang w:val="en-GB" w:eastAsia="en-GB"/>
              </w:rPr>
            </w:pPr>
            <w:r>
              <w:rPr>
                <w:rFonts w:ascii="Times New Roman"/>
                <w:sz w:val="20"/>
                <w:lang w:val="en-GB" w:eastAsia="en-GB"/>
              </w:rPr>
              <w:t>海拔＞2500m</w:t>
            </w:r>
          </w:p>
        </w:tc>
      </w:tr>
      <w:tr w14:paraId="698B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380" w:type="pct"/>
            <w:vAlign w:val="center"/>
          </w:tcPr>
          <w:p w14:paraId="5C5C4397">
            <w:pPr>
              <w:pStyle w:val="105"/>
              <w:jc w:val="center"/>
              <w:outlineLvl w:val="9"/>
              <w:rPr>
                <w:rFonts w:ascii="Times New Roman"/>
                <w:sz w:val="20"/>
                <w:lang w:val="en-GB" w:eastAsia="en-GB"/>
              </w:rPr>
            </w:pPr>
            <w:r>
              <w:rPr>
                <w:rFonts w:ascii="Times New Roman"/>
                <w:sz w:val="20"/>
                <w:lang w:val="en-GB" w:eastAsia="en-GB"/>
              </w:rPr>
              <w:t>1</w:t>
            </w:r>
          </w:p>
        </w:tc>
        <w:tc>
          <w:tcPr>
            <w:tcW w:w="2381" w:type="pct"/>
            <w:vAlign w:val="center"/>
          </w:tcPr>
          <w:p w14:paraId="4A46D508">
            <w:pPr>
              <w:pStyle w:val="105"/>
              <w:jc w:val="both"/>
              <w:outlineLvl w:val="9"/>
              <w:rPr>
                <w:rFonts w:ascii="Times New Roman"/>
                <w:sz w:val="20"/>
                <w:lang w:val="en-GB" w:eastAsia="en-GB"/>
              </w:rPr>
            </w:pPr>
            <w:r>
              <w:rPr>
                <w:rFonts w:ascii="Times New Roman"/>
                <w:sz w:val="20"/>
                <w:lang w:val="en-GB" w:eastAsia="en-GB"/>
              </w:rPr>
              <w:t>一氧化碳（mg/Nm</w:t>
            </w:r>
            <w:r>
              <w:rPr>
                <w:rFonts w:ascii="Times New Roman"/>
                <w:sz w:val="20"/>
                <w:vertAlign w:val="superscript"/>
                <w:lang w:val="en-GB" w:eastAsia="en-GB"/>
              </w:rPr>
              <w:t>3</w:t>
            </w:r>
            <w:r>
              <w:rPr>
                <w:rFonts w:ascii="Times New Roman"/>
                <w:sz w:val="20"/>
                <w:lang w:val="en-GB" w:eastAsia="en-GB"/>
              </w:rPr>
              <w:t>）</w:t>
            </w:r>
          </w:p>
        </w:tc>
        <w:tc>
          <w:tcPr>
            <w:tcW w:w="1120" w:type="pct"/>
            <w:vAlign w:val="center"/>
          </w:tcPr>
          <w:p w14:paraId="257532D6">
            <w:pPr>
              <w:pStyle w:val="105"/>
              <w:jc w:val="center"/>
              <w:outlineLvl w:val="9"/>
              <w:rPr>
                <w:rFonts w:ascii="Times New Roman"/>
                <w:sz w:val="20"/>
                <w:lang w:val="en-GB" w:eastAsia="en-GB"/>
              </w:rPr>
            </w:pPr>
            <w:r>
              <w:rPr>
                <w:rFonts w:hint="eastAsia" w:ascii="Times New Roman"/>
                <w:sz w:val="20"/>
                <w:lang w:val="en-GB" w:eastAsia="en-GB"/>
              </w:rPr>
              <w:t>100</w:t>
            </w:r>
          </w:p>
        </w:tc>
        <w:tc>
          <w:tcPr>
            <w:tcW w:w="1119" w:type="pct"/>
            <w:vAlign w:val="center"/>
          </w:tcPr>
          <w:p w14:paraId="5286812F">
            <w:pPr>
              <w:pStyle w:val="105"/>
              <w:jc w:val="center"/>
              <w:outlineLvl w:val="9"/>
              <w:rPr>
                <w:rFonts w:ascii="Times New Roman"/>
                <w:sz w:val="20"/>
                <w:lang w:val="en-GB" w:eastAsia="en-GB"/>
              </w:rPr>
            </w:pPr>
            <w:r>
              <w:rPr>
                <w:rFonts w:hint="eastAsia" w:ascii="Times New Roman"/>
                <w:sz w:val="20"/>
                <w:lang w:val="en-GB" w:eastAsia="en-GB"/>
              </w:rPr>
              <w:t>250</w:t>
            </w:r>
          </w:p>
        </w:tc>
      </w:tr>
      <w:tr w14:paraId="33AE2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380" w:type="pct"/>
            <w:vAlign w:val="center"/>
          </w:tcPr>
          <w:p w14:paraId="154C83D7">
            <w:pPr>
              <w:pStyle w:val="105"/>
              <w:jc w:val="center"/>
              <w:outlineLvl w:val="9"/>
              <w:rPr>
                <w:rFonts w:ascii="Times New Roman"/>
                <w:sz w:val="20"/>
                <w:lang w:val="en-GB" w:eastAsia="en-GB"/>
              </w:rPr>
            </w:pPr>
            <w:r>
              <w:rPr>
                <w:rFonts w:ascii="Times New Roman"/>
                <w:sz w:val="20"/>
                <w:lang w:val="en-GB" w:eastAsia="en-GB"/>
              </w:rPr>
              <w:t>2</w:t>
            </w:r>
          </w:p>
        </w:tc>
        <w:tc>
          <w:tcPr>
            <w:tcW w:w="2381" w:type="pct"/>
            <w:vAlign w:val="center"/>
          </w:tcPr>
          <w:p w14:paraId="7D7F70EF">
            <w:pPr>
              <w:pStyle w:val="105"/>
              <w:jc w:val="both"/>
              <w:outlineLvl w:val="9"/>
              <w:rPr>
                <w:rFonts w:ascii="Times New Roman"/>
                <w:sz w:val="20"/>
                <w:lang w:val="en-GB" w:eastAsia="en-GB"/>
              </w:rPr>
            </w:pPr>
            <w:r>
              <w:rPr>
                <w:rFonts w:ascii="Times New Roman"/>
                <w:sz w:val="20"/>
                <w:lang w:val="en-GB" w:eastAsia="en-GB"/>
              </w:rPr>
              <w:t>氮氧化物（mg/Nm</w:t>
            </w:r>
            <w:r>
              <w:rPr>
                <w:rFonts w:ascii="Times New Roman"/>
                <w:sz w:val="20"/>
                <w:vertAlign w:val="superscript"/>
                <w:lang w:val="en-GB" w:eastAsia="en-GB"/>
              </w:rPr>
              <w:t>3</w:t>
            </w:r>
            <w:r>
              <w:rPr>
                <w:rFonts w:ascii="Times New Roman"/>
                <w:sz w:val="20"/>
                <w:lang w:val="en-GB" w:eastAsia="en-GB"/>
              </w:rPr>
              <w:t>）</w:t>
            </w:r>
          </w:p>
        </w:tc>
        <w:tc>
          <w:tcPr>
            <w:tcW w:w="1120" w:type="pct"/>
            <w:vAlign w:val="center"/>
          </w:tcPr>
          <w:p w14:paraId="1681DF78">
            <w:pPr>
              <w:pStyle w:val="105"/>
              <w:jc w:val="center"/>
              <w:outlineLvl w:val="9"/>
              <w:rPr>
                <w:rFonts w:ascii="Times New Roman"/>
                <w:sz w:val="20"/>
                <w:lang w:val="en-GB" w:eastAsia="en-GB"/>
              </w:rPr>
            </w:pPr>
            <w:r>
              <w:rPr>
                <w:rFonts w:hint="eastAsia" w:ascii="Times New Roman"/>
                <w:sz w:val="20"/>
                <w:lang w:val="en-GB" w:eastAsia="en-GB"/>
              </w:rPr>
              <w:t>300</w:t>
            </w:r>
          </w:p>
        </w:tc>
        <w:tc>
          <w:tcPr>
            <w:tcW w:w="1119" w:type="pct"/>
            <w:vAlign w:val="center"/>
          </w:tcPr>
          <w:p w14:paraId="23803C2C">
            <w:pPr>
              <w:pStyle w:val="105"/>
              <w:jc w:val="center"/>
              <w:outlineLvl w:val="9"/>
              <w:rPr>
                <w:rFonts w:ascii="Times New Roman"/>
                <w:sz w:val="20"/>
                <w:lang w:val="en-GB" w:eastAsia="en-GB"/>
              </w:rPr>
            </w:pPr>
            <w:r>
              <w:rPr>
                <w:rFonts w:hint="eastAsia" w:ascii="Times New Roman"/>
                <w:sz w:val="20"/>
                <w:lang w:val="en-GB" w:eastAsia="en-GB"/>
              </w:rPr>
              <w:t>300</w:t>
            </w:r>
          </w:p>
        </w:tc>
      </w:tr>
      <w:tr w14:paraId="6EE9E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380" w:type="pct"/>
            <w:vAlign w:val="center"/>
          </w:tcPr>
          <w:p w14:paraId="2E1EE1A1">
            <w:pPr>
              <w:pStyle w:val="105"/>
              <w:jc w:val="center"/>
              <w:outlineLvl w:val="9"/>
              <w:rPr>
                <w:rFonts w:ascii="Times New Roman"/>
                <w:sz w:val="20"/>
                <w:lang w:val="en-GB" w:eastAsia="en-GB"/>
              </w:rPr>
            </w:pPr>
            <w:r>
              <w:rPr>
                <w:rFonts w:ascii="Times New Roman"/>
                <w:sz w:val="20"/>
                <w:lang w:val="en-GB" w:eastAsia="en-GB"/>
              </w:rPr>
              <w:t>3</w:t>
            </w:r>
          </w:p>
        </w:tc>
        <w:tc>
          <w:tcPr>
            <w:tcW w:w="2381" w:type="pct"/>
            <w:vAlign w:val="center"/>
          </w:tcPr>
          <w:p w14:paraId="7D9EA01C">
            <w:pPr>
              <w:pStyle w:val="105"/>
              <w:jc w:val="both"/>
              <w:outlineLvl w:val="9"/>
              <w:rPr>
                <w:rFonts w:ascii="Times New Roman"/>
                <w:sz w:val="20"/>
                <w:lang w:val="en-GB" w:eastAsia="en-GB"/>
              </w:rPr>
            </w:pPr>
            <w:r>
              <w:rPr>
                <w:rFonts w:ascii="Times New Roman"/>
                <w:sz w:val="20"/>
                <w:lang w:val="en-GB" w:eastAsia="en-GB"/>
              </w:rPr>
              <w:t>二氧化硫（mg/Nm</w:t>
            </w:r>
            <w:r>
              <w:rPr>
                <w:rFonts w:ascii="Times New Roman"/>
                <w:sz w:val="20"/>
                <w:vertAlign w:val="superscript"/>
                <w:lang w:val="en-GB" w:eastAsia="en-GB"/>
              </w:rPr>
              <w:t>3</w:t>
            </w:r>
            <w:r>
              <w:rPr>
                <w:rFonts w:ascii="Times New Roman"/>
                <w:sz w:val="20"/>
                <w:lang w:val="en-GB" w:eastAsia="en-GB"/>
              </w:rPr>
              <w:t>）</w:t>
            </w:r>
          </w:p>
        </w:tc>
        <w:tc>
          <w:tcPr>
            <w:tcW w:w="1120" w:type="pct"/>
            <w:vAlign w:val="center"/>
          </w:tcPr>
          <w:p w14:paraId="12EDD388">
            <w:pPr>
              <w:pStyle w:val="105"/>
              <w:jc w:val="center"/>
              <w:outlineLvl w:val="9"/>
              <w:rPr>
                <w:rFonts w:ascii="Times New Roman"/>
                <w:sz w:val="20"/>
                <w:lang w:val="en-GB" w:eastAsia="en-GB"/>
              </w:rPr>
            </w:pPr>
            <w:r>
              <w:rPr>
                <w:rFonts w:hint="eastAsia" w:ascii="Times New Roman"/>
                <w:sz w:val="20"/>
                <w:lang w:val="en-GB" w:eastAsia="en-GB"/>
              </w:rPr>
              <w:t>100</w:t>
            </w:r>
          </w:p>
        </w:tc>
        <w:tc>
          <w:tcPr>
            <w:tcW w:w="1119" w:type="pct"/>
            <w:vAlign w:val="center"/>
          </w:tcPr>
          <w:p w14:paraId="3904E699">
            <w:pPr>
              <w:pStyle w:val="105"/>
              <w:jc w:val="center"/>
              <w:outlineLvl w:val="9"/>
              <w:rPr>
                <w:rFonts w:ascii="Times New Roman"/>
                <w:sz w:val="20"/>
                <w:lang w:val="en-GB" w:eastAsia="en-GB"/>
              </w:rPr>
            </w:pPr>
            <w:r>
              <w:rPr>
                <w:rFonts w:hint="eastAsia" w:ascii="Times New Roman"/>
                <w:sz w:val="20"/>
                <w:lang w:val="en-GB" w:eastAsia="en-GB"/>
              </w:rPr>
              <w:t>100</w:t>
            </w:r>
          </w:p>
        </w:tc>
      </w:tr>
      <w:tr w14:paraId="2779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380" w:type="pct"/>
            <w:vAlign w:val="center"/>
          </w:tcPr>
          <w:p w14:paraId="5C533707">
            <w:pPr>
              <w:pStyle w:val="105"/>
              <w:jc w:val="center"/>
              <w:outlineLvl w:val="9"/>
              <w:rPr>
                <w:rFonts w:ascii="Times New Roman"/>
                <w:sz w:val="20"/>
                <w:lang w:val="en-GB" w:eastAsia="en-GB"/>
              </w:rPr>
            </w:pPr>
            <w:r>
              <w:rPr>
                <w:rFonts w:ascii="Times New Roman"/>
                <w:sz w:val="20"/>
                <w:lang w:val="en-GB" w:eastAsia="en-GB"/>
              </w:rPr>
              <w:t>4</w:t>
            </w:r>
          </w:p>
        </w:tc>
        <w:tc>
          <w:tcPr>
            <w:tcW w:w="2381" w:type="pct"/>
            <w:vAlign w:val="center"/>
          </w:tcPr>
          <w:p w14:paraId="5361BCCC">
            <w:pPr>
              <w:pStyle w:val="105"/>
              <w:jc w:val="both"/>
              <w:outlineLvl w:val="9"/>
              <w:rPr>
                <w:rFonts w:ascii="Times New Roman"/>
                <w:sz w:val="20"/>
                <w:lang w:val="en-GB" w:eastAsia="en-GB"/>
              </w:rPr>
            </w:pPr>
            <w:r>
              <w:rPr>
                <w:rFonts w:ascii="Times New Roman"/>
                <w:sz w:val="20"/>
                <w:lang w:val="en-GB" w:eastAsia="en-GB"/>
              </w:rPr>
              <w:t>氯化氢（mg/Nm</w:t>
            </w:r>
            <w:r>
              <w:rPr>
                <w:rFonts w:ascii="Times New Roman"/>
                <w:sz w:val="20"/>
                <w:vertAlign w:val="superscript"/>
                <w:lang w:val="en-GB" w:eastAsia="en-GB"/>
              </w:rPr>
              <w:t>3</w:t>
            </w:r>
            <w:r>
              <w:rPr>
                <w:rFonts w:ascii="Times New Roman"/>
                <w:sz w:val="20"/>
                <w:lang w:val="en-GB" w:eastAsia="en-GB"/>
              </w:rPr>
              <w:t>）</w:t>
            </w:r>
          </w:p>
        </w:tc>
        <w:tc>
          <w:tcPr>
            <w:tcW w:w="1120" w:type="pct"/>
            <w:vAlign w:val="center"/>
          </w:tcPr>
          <w:p w14:paraId="6F2AD3CA">
            <w:pPr>
              <w:pStyle w:val="105"/>
              <w:jc w:val="center"/>
              <w:outlineLvl w:val="9"/>
              <w:rPr>
                <w:rFonts w:ascii="Times New Roman"/>
                <w:sz w:val="20"/>
                <w:lang w:val="en-GB" w:eastAsia="en-GB"/>
              </w:rPr>
            </w:pPr>
            <w:r>
              <w:rPr>
                <w:rFonts w:hint="eastAsia" w:ascii="Times New Roman"/>
                <w:sz w:val="20"/>
                <w:lang w:val="en-GB" w:eastAsia="en-GB"/>
              </w:rPr>
              <w:t>60</w:t>
            </w:r>
          </w:p>
        </w:tc>
        <w:tc>
          <w:tcPr>
            <w:tcW w:w="1119" w:type="pct"/>
            <w:vAlign w:val="center"/>
          </w:tcPr>
          <w:p w14:paraId="074A0606">
            <w:pPr>
              <w:pStyle w:val="105"/>
              <w:jc w:val="center"/>
              <w:outlineLvl w:val="9"/>
              <w:rPr>
                <w:rFonts w:ascii="Times New Roman"/>
                <w:sz w:val="20"/>
                <w:lang w:val="en-GB" w:eastAsia="en-GB"/>
              </w:rPr>
            </w:pPr>
            <w:r>
              <w:rPr>
                <w:rFonts w:hint="eastAsia" w:ascii="Times New Roman"/>
                <w:sz w:val="20"/>
                <w:lang w:val="en-GB" w:eastAsia="en-GB"/>
              </w:rPr>
              <w:t>60</w:t>
            </w:r>
          </w:p>
        </w:tc>
      </w:tr>
      <w:tr w14:paraId="2A974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380" w:type="pct"/>
            <w:vAlign w:val="center"/>
          </w:tcPr>
          <w:p w14:paraId="5DD1763C">
            <w:pPr>
              <w:pStyle w:val="105"/>
              <w:jc w:val="center"/>
              <w:outlineLvl w:val="9"/>
              <w:rPr>
                <w:rFonts w:ascii="Times New Roman"/>
                <w:sz w:val="20"/>
                <w:lang w:val="en-GB" w:eastAsia="en-GB"/>
              </w:rPr>
            </w:pPr>
            <w:r>
              <w:rPr>
                <w:rFonts w:ascii="Times New Roman"/>
                <w:sz w:val="20"/>
                <w:lang w:val="en-GB" w:eastAsia="en-GB"/>
              </w:rPr>
              <w:t>5</w:t>
            </w:r>
          </w:p>
        </w:tc>
        <w:tc>
          <w:tcPr>
            <w:tcW w:w="2381" w:type="pct"/>
            <w:vAlign w:val="center"/>
          </w:tcPr>
          <w:p w14:paraId="2A86C56E">
            <w:pPr>
              <w:pStyle w:val="105"/>
              <w:jc w:val="both"/>
              <w:outlineLvl w:val="9"/>
              <w:rPr>
                <w:rFonts w:ascii="Times New Roman"/>
                <w:sz w:val="20"/>
                <w:lang w:val="en-GB" w:eastAsia="en-GB"/>
              </w:rPr>
            </w:pPr>
            <w:r>
              <w:rPr>
                <w:rFonts w:ascii="Times New Roman"/>
                <w:sz w:val="20"/>
                <w:lang w:val="en-GB" w:eastAsia="en-GB"/>
              </w:rPr>
              <w:t>颗粒物（mg/Nm</w:t>
            </w:r>
            <w:r>
              <w:rPr>
                <w:rFonts w:ascii="Times New Roman"/>
                <w:sz w:val="20"/>
                <w:vertAlign w:val="superscript"/>
                <w:lang w:val="en-GB" w:eastAsia="en-GB"/>
              </w:rPr>
              <w:t>3</w:t>
            </w:r>
            <w:r>
              <w:rPr>
                <w:rFonts w:ascii="Times New Roman"/>
                <w:sz w:val="20"/>
                <w:lang w:val="en-GB" w:eastAsia="en-GB"/>
              </w:rPr>
              <w:t>）</w:t>
            </w:r>
          </w:p>
        </w:tc>
        <w:tc>
          <w:tcPr>
            <w:tcW w:w="1120" w:type="pct"/>
            <w:vAlign w:val="center"/>
          </w:tcPr>
          <w:p w14:paraId="76B25619">
            <w:pPr>
              <w:pStyle w:val="105"/>
              <w:jc w:val="center"/>
              <w:outlineLvl w:val="9"/>
              <w:rPr>
                <w:rFonts w:ascii="Times New Roman"/>
                <w:sz w:val="20"/>
                <w:lang w:val="en-GB" w:eastAsia="en-GB"/>
              </w:rPr>
            </w:pPr>
            <w:r>
              <w:rPr>
                <w:rFonts w:hint="eastAsia" w:ascii="Times New Roman"/>
                <w:sz w:val="20"/>
                <w:lang w:val="en-GB" w:eastAsia="en-GB"/>
              </w:rPr>
              <w:t>30</w:t>
            </w:r>
          </w:p>
        </w:tc>
        <w:tc>
          <w:tcPr>
            <w:tcW w:w="1119" w:type="pct"/>
            <w:vAlign w:val="center"/>
          </w:tcPr>
          <w:p w14:paraId="5851F6E0">
            <w:pPr>
              <w:pStyle w:val="105"/>
              <w:jc w:val="center"/>
              <w:outlineLvl w:val="9"/>
              <w:rPr>
                <w:rFonts w:ascii="Times New Roman"/>
                <w:sz w:val="20"/>
                <w:lang w:val="en-GB" w:eastAsia="en-GB"/>
              </w:rPr>
            </w:pPr>
            <w:r>
              <w:rPr>
                <w:rFonts w:hint="eastAsia" w:ascii="Times New Roman"/>
                <w:sz w:val="20"/>
                <w:lang w:val="en-GB" w:eastAsia="en-GB"/>
              </w:rPr>
              <w:t>30</w:t>
            </w:r>
          </w:p>
        </w:tc>
      </w:tr>
      <w:tr w14:paraId="351A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380" w:type="pct"/>
            <w:vAlign w:val="center"/>
          </w:tcPr>
          <w:p w14:paraId="70495F1B">
            <w:pPr>
              <w:pStyle w:val="105"/>
              <w:jc w:val="center"/>
              <w:outlineLvl w:val="9"/>
              <w:rPr>
                <w:rFonts w:ascii="Times New Roman"/>
                <w:sz w:val="20"/>
                <w:lang w:val="en-GB" w:eastAsia="en-GB"/>
              </w:rPr>
            </w:pPr>
            <w:r>
              <w:rPr>
                <w:rFonts w:ascii="Times New Roman"/>
                <w:sz w:val="20"/>
                <w:lang w:val="en-GB" w:eastAsia="en-GB"/>
              </w:rPr>
              <w:t>6</w:t>
            </w:r>
          </w:p>
        </w:tc>
        <w:tc>
          <w:tcPr>
            <w:tcW w:w="2381" w:type="pct"/>
            <w:vAlign w:val="center"/>
          </w:tcPr>
          <w:p w14:paraId="63F1C177">
            <w:pPr>
              <w:pStyle w:val="105"/>
              <w:jc w:val="both"/>
              <w:outlineLvl w:val="9"/>
              <w:rPr>
                <w:rFonts w:ascii="Times New Roman"/>
                <w:sz w:val="20"/>
                <w:lang w:val="en-GB" w:eastAsia="en-GB"/>
              </w:rPr>
            </w:pPr>
            <w:r>
              <w:rPr>
                <w:rFonts w:ascii="Times New Roman"/>
                <w:sz w:val="20"/>
                <w:lang w:val="en-GB" w:eastAsia="en-GB"/>
              </w:rPr>
              <w:t>二噁英类（ng TEQ/Nm</w:t>
            </w:r>
            <w:r>
              <w:rPr>
                <w:rFonts w:ascii="Times New Roman"/>
                <w:sz w:val="20"/>
                <w:vertAlign w:val="superscript"/>
                <w:lang w:val="en-GB" w:eastAsia="en-GB"/>
              </w:rPr>
              <w:t>3</w:t>
            </w:r>
            <w:r>
              <w:rPr>
                <w:rFonts w:ascii="Times New Roman"/>
                <w:sz w:val="20"/>
                <w:lang w:val="en-GB" w:eastAsia="en-GB"/>
              </w:rPr>
              <w:t>）</w:t>
            </w:r>
          </w:p>
        </w:tc>
        <w:tc>
          <w:tcPr>
            <w:tcW w:w="1120" w:type="pct"/>
            <w:vAlign w:val="center"/>
          </w:tcPr>
          <w:p w14:paraId="26575B2D">
            <w:pPr>
              <w:pStyle w:val="105"/>
              <w:jc w:val="center"/>
              <w:outlineLvl w:val="9"/>
              <w:rPr>
                <w:rFonts w:ascii="Times New Roman"/>
                <w:sz w:val="20"/>
                <w:lang w:val="en-GB" w:eastAsia="en-GB"/>
              </w:rPr>
            </w:pPr>
            <w:r>
              <w:rPr>
                <w:rFonts w:hint="eastAsia" w:ascii="Times New Roman"/>
                <w:sz w:val="20"/>
                <w:lang w:val="en-GB" w:eastAsia="en-GB"/>
              </w:rPr>
              <w:t>0.1</w:t>
            </w:r>
          </w:p>
        </w:tc>
        <w:tc>
          <w:tcPr>
            <w:tcW w:w="1119" w:type="pct"/>
            <w:vAlign w:val="center"/>
          </w:tcPr>
          <w:p w14:paraId="226F438E">
            <w:pPr>
              <w:pStyle w:val="105"/>
              <w:jc w:val="center"/>
              <w:outlineLvl w:val="9"/>
              <w:rPr>
                <w:rFonts w:ascii="Times New Roman"/>
                <w:sz w:val="20"/>
                <w:lang w:val="en-GB" w:eastAsia="en-GB"/>
              </w:rPr>
            </w:pPr>
            <w:r>
              <w:rPr>
                <w:rFonts w:hint="eastAsia" w:ascii="Times New Roman"/>
                <w:sz w:val="20"/>
                <w:lang w:val="en-GB" w:eastAsia="en-GB"/>
              </w:rPr>
              <w:t>0.5</w:t>
            </w:r>
          </w:p>
        </w:tc>
      </w:tr>
      <w:tr w14:paraId="574F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380" w:type="pct"/>
            <w:vAlign w:val="center"/>
          </w:tcPr>
          <w:p w14:paraId="38D22018">
            <w:pPr>
              <w:pStyle w:val="105"/>
              <w:jc w:val="center"/>
              <w:outlineLvl w:val="9"/>
              <w:rPr>
                <w:rFonts w:ascii="Times New Roman"/>
                <w:sz w:val="20"/>
                <w:lang w:val="en-GB" w:eastAsia="en-GB"/>
              </w:rPr>
            </w:pPr>
            <w:r>
              <w:rPr>
                <w:rFonts w:ascii="Times New Roman"/>
                <w:sz w:val="20"/>
                <w:lang w:val="en-GB" w:eastAsia="en-GB"/>
              </w:rPr>
              <w:t>7</w:t>
            </w:r>
          </w:p>
        </w:tc>
        <w:tc>
          <w:tcPr>
            <w:tcW w:w="2381" w:type="pct"/>
            <w:vAlign w:val="center"/>
          </w:tcPr>
          <w:p w14:paraId="45797EEE">
            <w:pPr>
              <w:pStyle w:val="105"/>
              <w:jc w:val="both"/>
              <w:outlineLvl w:val="9"/>
              <w:rPr>
                <w:rFonts w:ascii="Times New Roman"/>
                <w:sz w:val="20"/>
                <w:lang w:val="en-GB" w:eastAsia="en-GB"/>
              </w:rPr>
            </w:pPr>
            <w:r>
              <w:rPr>
                <w:rFonts w:ascii="Times New Roman"/>
                <w:sz w:val="20"/>
                <w:lang w:val="en-GB" w:eastAsia="en-GB"/>
              </w:rPr>
              <w:t>汞及其化合物（以Hg计）（mg/Nm</w:t>
            </w:r>
            <w:r>
              <w:rPr>
                <w:rFonts w:ascii="Times New Roman"/>
                <w:sz w:val="20"/>
                <w:vertAlign w:val="superscript"/>
                <w:lang w:val="en-GB" w:eastAsia="en-GB"/>
              </w:rPr>
              <w:t>3</w:t>
            </w:r>
            <w:r>
              <w:rPr>
                <w:rFonts w:ascii="Times New Roman"/>
                <w:sz w:val="20"/>
                <w:lang w:val="en-GB" w:eastAsia="en-GB"/>
              </w:rPr>
              <w:t>）</w:t>
            </w:r>
          </w:p>
        </w:tc>
        <w:tc>
          <w:tcPr>
            <w:tcW w:w="1120" w:type="pct"/>
            <w:vAlign w:val="center"/>
          </w:tcPr>
          <w:p w14:paraId="17861F02">
            <w:pPr>
              <w:pStyle w:val="105"/>
              <w:jc w:val="center"/>
              <w:outlineLvl w:val="9"/>
              <w:rPr>
                <w:rFonts w:ascii="Times New Roman"/>
                <w:sz w:val="20"/>
                <w:lang w:val="en-GB" w:eastAsia="en-GB"/>
              </w:rPr>
            </w:pPr>
            <w:r>
              <w:rPr>
                <w:rFonts w:hint="eastAsia" w:ascii="Times New Roman"/>
                <w:sz w:val="20"/>
                <w:lang w:val="en-GB" w:eastAsia="en-GB"/>
              </w:rPr>
              <w:t>0.05</w:t>
            </w:r>
          </w:p>
        </w:tc>
        <w:tc>
          <w:tcPr>
            <w:tcW w:w="1119" w:type="pct"/>
            <w:vAlign w:val="center"/>
          </w:tcPr>
          <w:p w14:paraId="3933BBA2">
            <w:pPr>
              <w:pStyle w:val="105"/>
              <w:jc w:val="center"/>
              <w:outlineLvl w:val="9"/>
              <w:rPr>
                <w:rFonts w:ascii="Times New Roman"/>
                <w:sz w:val="20"/>
                <w:lang w:val="en-GB" w:eastAsia="en-GB"/>
              </w:rPr>
            </w:pPr>
            <w:r>
              <w:rPr>
                <w:rFonts w:hint="eastAsia" w:ascii="Times New Roman"/>
                <w:sz w:val="20"/>
                <w:lang w:val="en-GB" w:eastAsia="en-GB"/>
              </w:rPr>
              <w:t>0.05</w:t>
            </w:r>
          </w:p>
        </w:tc>
      </w:tr>
      <w:tr w14:paraId="3615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380" w:type="pct"/>
            <w:vAlign w:val="center"/>
          </w:tcPr>
          <w:p w14:paraId="5265E5AA">
            <w:pPr>
              <w:pStyle w:val="105"/>
              <w:jc w:val="center"/>
              <w:outlineLvl w:val="9"/>
              <w:rPr>
                <w:rFonts w:ascii="Times New Roman"/>
                <w:sz w:val="20"/>
                <w:lang w:val="en-GB" w:eastAsia="en-GB"/>
              </w:rPr>
            </w:pPr>
            <w:r>
              <w:rPr>
                <w:rFonts w:ascii="Times New Roman"/>
                <w:sz w:val="20"/>
                <w:lang w:val="en-GB" w:eastAsia="en-GB"/>
              </w:rPr>
              <w:t>8</w:t>
            </w:r>
          </w:p>
        </w:tc>
        <w:tc>
          <w:tcPr>
            <w:tcW w:w="2381" w:type="pct"/>
            <w:vAlign w:val="center"/>
          </w:tcPr>
          <w:p w14:paraId="7A0DF028">
            <w:pPr>
              <w:pStyle w:val="105"/>
              <w:jc w:val="both"/>
              <w:outlineLvl w:val="9"/>
              <w:rPr>
                <w:rFonts w:ascii="Times New Roman"/>
                <w:sz w:val="20"/>
                <w:lang w:val="en-GB" w:eastAsia="zh-CN"/>
              </w:rPr>
            </w:pPr>
            <w:r>
              <w:rPr>
                <w:rFonts w:ascii="Times New Roman"/>
                <w:sz w:val="20"/>
                <w:lang w:val="en-GB" w:eastAsia="zh-CN"/>
              </w:rPr>
              <w:t>镉、铊及其化合物（以Cd+Tl计）（mg/Nm</w:t>
            </w:r>
            <w:r>
              <w:rPr>
                <w:rFonts w:ascii="Times New Roman"/>
                <w:sz w:val="20"/>
                <w:vertAlign w:val="superscript"/>
                <w:lang w:val="en-GB" w:eastAsia="zh-CN"/>
              </w:rPr>
              <w:t>3</w:t>
            </w:r>
            <w:r>
              <w:rPr>
                <w:rFonts w:ascii="Times New Roman"/>
                <w:sz w:val="20"/>
                <w:lang w:val="en-GB" w:eastAsia="zh-CN"/>
              </w:rPr>
              <w:t>）</w:t>
            </w:r>
          </w:p>
        </w:tc>
        <w:tc>
          <w:tcPr>
            <w:tcW w:w="1120" w:type="pct"/>
            <w:vAlign w:val="center"/>
          </w:tcPr>
          <w:p w14:paraId="7CC12AF9">
            <w:pPr>
              <w:pStyle w:val="105"/>
              <w:jc w:val="center"/>
              <w:outlineLvl w:val="9"/>
              <w:rPr>
                <w:rFonts w:ascii="Times New Roman"/>
                <w:sz w:val="20"/>
                <w:lang w:val="en-GB" w:eastAsia="en-GB"/>
              </w:rPr>
            </w:pPr>
            <w:r>
              <w:rPr>
                <w:rFonts w:hint="eastAsia" w:ascii="Times New Roman"/>
                <w:sz w:val="20"/>
                <w:lang w:val="en-GB" w:eastAsia="en-GB"/>
              </w:rPr>
              <w:t>0.1</w:t>
            </w:r>
          </w:p>
        </w:tc>
        <w:tc>
          <w:tcPr>
            <w:tcW w:w="1119" w:type="pct"/>
            <w:vAlign w:val="center"/>
          </w:tcPr>
          <w:p w14:paraId="7316BAC9">
            <w:pPr>
              <w:pStyle w:val="105"/>
              <w:jc w:val="center"/>
              <w:outlineLvl w:val="9"/>
              <w:rPr>
                <w:rFonts w:ascii="Times New Roman"/>
                <w:sz w:val="20"/>
                <w:lang w:val="en-GB" w:eastAsia="en-GB"/>
              </w:rPr>
            </w:pPr>
            <w:r>
              <w:rPr>
                <w:rFonts w:hint="eastAsia" w:ascii="Times New Roman"/>
                <w:sz w:val="20"/>
                <w:lang w:val="en-GB" w:eastAsia="en-GB"/>
              </w:rPr>
              <w:t>0.1</w:t>
            </w:r>
          </w:p>
        </w:tc>
      </w:tr>
      <w:tr w14:paraId="0AEEB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380" w:type="pct"/>
            <w:vAlign w:val="center"/>
          </w:tcPr>
          <w:p w14:paraId="5C5CDC26">
            <w:pPr>
              <w:pStyle w:val="105"/>
              <w:jc w:val="center"/>
              <w:outlineLvl w:val="9"/>
              <w:rPr>
                <w:rFonts w:ascii="Times New Roman"/>
                <w:sz w:val="20"/>
                <w:lang w:val="en-GB" w:eastAsia="en-GB"/>
              </w:rPr>
            </w:pPr>
            <w:r>
              <w:rPr>
                <w:rFonts w:ascii="Times New Roman"/>
                <w:sz w:val="20"/>
                <w:lang w:val="en-GB" w:eastAsia="en-GB"/>
              </w:rPr>
              <w:t>9</w:t>
            </w:r>
          </w:p>
        </w:tc>
        <w:tc>
          <w:tcPr>
            <w:tcW w:w="2381" w:type="pct"/>
            <w:vAlign w:val="center"/>
          </w:tcPr>
          <w:p w14:paraId="2EB17D09">
            <w:pPr>
              <w:pStyle w:val="105"/>
              <w:jc w:val="both"/>
              <w:outlineLvl w:val="9"/>
              <w:rPr>
                <w:rFonts w:ascii="Times New Roman"/>
                <w:sz w:val="20"/>
                <w:lang w:val="en-GB" w:eastAsia="en-GB"/>
              </w:rPr>
            </w:pPr>
            <w:r>
              <w:rPr>
                <w:rFonts w:ascii="Times New Roman"/>
                <w:sz w:val="20"/>
                <w:lang w:val="en-GB" w:eastAsia="en-GB"/>
              </w:rPr>
              <w:t>锑、砷、铅、铬、钴、铜、锰、镍及其化合物（以Sb+As+Pb+Cr+Co+Cu+Mn+Ni计）（mg/Nm</w:t>
            </w:r>
            <w:r>
              <w:rPr>
                <w:rFonts w:ascii="Times New Roman"/>
                <w:sz w:val="20"/>
                <w:vertAlign w:val="superscript"/>
                <w:lang w:val="en-GB" w:eastAsia="en-GB"/>
              </w:rPr>
              <w:t>3</w:t>
            </w:r>
            <w:r>
              <w:rPr>
                <w:rFonts w:ascii="Times New Roman"/>
                <w:sz w:val="20"/>
                <w:lang w:val="en-GB" w:eastAsia="en-GB"/>
              </w:rPr>
              <w:t>）</w:t>
            </w:r>
          </w:p>
        </w:tc>
        <w:tc>
          <w:tcPr>
            <w:tcW w:w="1120" w:type="pct"/>
            <w:vAlign w:val="center"/>
          </w:tcPr>
          <w:p w14:paraId="6AFB7ED4">
            <w:pPr>
              <w:pStyle w:val="105"/>
              <w:jc w:val="center"/>
              <w:outlineLvl w:val="9"/>
              <w:rPr>
                <w:rFonts w:ascii="Times New Roman"/>
                <w:sz w:val="20"/>
                <w:lang w:val="en-GB" w:eastAsia="en-GB"/>
              </w:rPr>
            </w:pPr>
            <w:r>
              <w:rPr>
                <w:rFonts w:hint="eastAsia" w:ascii="Times New Roman"/>
                <w:sz w:val="20"/>
                <w:lang w:val="en-GB" w:eastAsia="en-GB"/>
              </w:rPr>
              <w:t>1.0</w:t>
            </w:r>
          </w:p>
        </w:tc>
        <w:tc>
          <w:tcPr>
            <w:tcW w:w="1119" w:type="pct"/>
            <w:vAlign w:val="center"/>
          </w:tcPr>
          <w:p w14:paraId="56F8B20C">
            <w:pPr>
              <w:pStyle w:val="105"/>
              <w:jc w:val="center"/>
              <w:outlineLvl w:val="9"/>
              <w:rPr>
                <w:rFonts w:ascii="Times New Roman"/>
                <w:sz w:val="20"/>
                <w:lang w:val="en-GB" w:eastAsia="en-GB"/>
              </w:rPr>
            </w:pPr>
            <w:r>
              <w:rPr>
                <w:rFonts w:hint="eastAsia" w:ascii="Times New Roman"/>
                <w:sz w:val="20"/>
                <w:lang w:val="en-GB" w:eastAsia="en-GB"/>
              </w:rPr>
              <w:t>1.0</w:t>
            </w:r>
          </w:p>
        </w:tc>
      </w:tr>
    </w:tbl>
    <w:p w14:paraId="5D0113E9">
      <w:pPr>
        <w:pStyle w:val="98"/>
        <w:spacing w:before="156" w:after="156"/>
        <w:outlineLvl w:val="1"/>
        <w:rPr>
          <w:rStyle w:val="97"/>
          <w:rFonts w:ascii="Times New Roman" w:hAnsi="Times New Roman" w:cs="Times New Roman"/>
        </w:rPr>
      </w:pPr>
      <w:bookmarkStart w:id="103" w:name="_Toc240989759"/>
      <w:r>
        <w:rPr>
          <w:rStyle w:val="97"/>
          <w:rFonts w:ascii="Times New Roman" w:hAnsi="Times New Roman" w:cs="Times New Roman"/>
        </w:rPr>
        <w:t>环境风险评估</w:t>
      </w:r>
      <w:bookmarkEnd w:id="103"/>
    </w:p>
    <w:p w14:paraId="5ECD98B5">
      <w:pPr>
        <w:numPr>
          <w:ilvl w:val="2"/>
          <w:numId w:val="2"/>
        </w:numPr>
        <w:spacing w:before="50" w:after="50"/>
        <w:rPr>
          <w:kern w:val="0"/>
          <w:szCs w:val="21"/>
        </w:rPr>
      </w:pPr>
      <w:r>
        <w:rPr>
          <w:kern w:val="0"/>
          <w:szCs w:val="21"/>
        </w:rPr>
        <w:t>小型焚烧设施的环境保护责任主体应落实以下环境风险防控要求：</w:t>
      </w:r>
    </w:p>
    <w:p w14:paraId="6CD23451">
      <w:pPr>
        <w:numPr>
          <w:ilvl w:val="0"/>
          <w:numId w:val="15"/>
        </w:numPr>
        <w:tabs>
          <w:tab w:val="center" w:pos="4201"/>
          <w:tab w:val="right" w:leader="dot" w:pos="9298"/>
        </w:tabs>
        <w:autoSpaceDE w:val="0"/>
        <w:autoSpaceDN w:val="0"/>
        <w:jc w:val="both"/>
        <w:rPr>
          <w:rFonts w:eastAsiaTheme="minorEastAsia"/>
          <w:kern w:val="0"/>
          <w:szCs w:val="21"/>
        </w:rPr>
      </w:pPr>
      <w:r>
        <w:rPr>
          <w:rFonts w:eastAsiaTheme="minorEastAsia"/>
          <w:kern w:val="0"/>
          <w:szCs w:val="21"/>
        </w:rPr>
        <w:t>安排专人或委托专业队伍负责设施的环境风险防控；运行人员的数量应结合设施处理规模、设施工艺类型、当地人力成本等因素合理确定；运行人员不足时，应采用远程视频监控等手段完善管理体系；</w:t>
      </w:r>
    </w:p>
    <w:p w14:paraId="20B99D66">
      <w:pPr>
        <w:numPr>
          <w:ilvl w:val="0"/>
          <w:numId w:val="15"/>
        </w:numPr>
        <w:tabs>
          <w:tab w:val="center" w:pos="4201"/>
          <w:tab w:val="right" w:leader="dot" w:pos="9298"/>
        </w:tabs>
        <w:autoSpaceDE w:val="0"/>
        <w:autoSpaceDN w:val="0"/>
        <w:jc w:val="both"/>
        <w:rPr>
          <w:rFonts w:eastAsiaTheme="minorEastAsia"/>
          <w:kern w:val="0"/>
          <w:szCs w:val="21"/>
        </w:rPr>
      </w:pPr>
      <w:r>
        <w:rPr>
          <w:rFonts w:eastAsiaTheme="minorEastAsia"/>
          <w:kern w:val="0"/>
          <w:szCs w:val="21"/>
        </w:rPr>
        <w:t>制定工艺运行规程、污染防治规程、环境风险应急预案等环境风险防控的操作性文件；</w:t>
      </w:r>
    </w:p>
    <w:p w14:paraId="0D2D2E2B">
      <w:pPr>
        <w:numPr>
          <w:ilvl w:val="0"/>
          <w:numId w:val="15"/>
        </w:numPr>
        <w:tabs>
          <w:tab w:val="center" w:pos="4201"/>
          <w:tab w:val="right" w:leader="dot" w:pos="9298"/>
        </w:tabs>
        <w:autoSpaceDE w:val="0"/>
        <w:autoSpaceDN w:val="0"/>
        <w:jc w:val="both"/>
        <w:rPr>
          <w:rFonts w:eastAsiaTheme="minorEastAsia"/>
          <w:kern w:val="0"/>
          <w:szCs w:val="21"/>
        </w:rPr>
      </w:pPr>
      <w:r>
        <w:rPr>
          <w:rFonts w:eastAsiaTheme="minorEastAsia"/>
          <w:kern w:val="0"/>
          <w:szCs w:val="21"/>
        </w:rPr>
        <w:t>根据设施设计和建设的要求，保障投入足额的污染控制经费。</w:t>
      </w:r>
    </w:p>
    <w:p w14:paraId="1D20D558">
      <w:pPr>
        <w:numPr>
          <w:ilvl w:val="2"/>
          <w:numId w:val="2"/>
        </w:numPr>
        <w:spacing w:before="50" w:after="50"/>
        <w:rPr>
          <w:kern w:val="0"/>
          <w:szCs w:val="21"/>
        </w:rPr>
      </w:pPr>
      <w:r>
        <w:rPr>
          <w:kern w:val="0"/>
          <w:szCs w:val="21"/>
        </w:rPr>
        <w:t>责任主体应接受并积极配合生态环境</w:t>
      </w:r>
      <w:r>
        <w:rPr>
          <w:rFonts w:hint="eastAsia"/>
          <w:kern w:val="0"/>
          <w:szCs w:val="21"/>
        </w:rPr>
        <w:t>主管</w:t>
      </w:r>
      <w:r>
        <w:rPr>
          <w:kern w:val="0"/>
          <w:szCs w:val="21"/>
        </w:rPr>
        <w:t>部门或其委托的监管单位的检查，并提供检查所需的文件资料。</w:t>
      </w:r>
    </w:p>
    <w:p w14:paraId="39EACD4A">
      <w:pPr>
        <w:numPr>
          <w:ilvl w:val="2"/>
          <w:numId w:val="2"/>
        </w:numPr>
        <w:spacing w:before="50" w:after="50"/>
        <w:rPr>
          <w:kern w:val="0"/>
          <w:szCs w:val="21"/>
        </w:rPr>
      </w:pPr>
      <w:r>
        <w:rPr>
          <w:kern w:val="0"/>
          <w:szCs w:val="21"/>
        </w:rPr>
        <w:t>责任主体应开展蚊、蝇、鼠类和蟑螂等虫害的消杀。</w:t>
      </w:r>
    </w:p>
    <w:p w14:paraId="31CEFAA4">
      <w:pPr>
        <w:pStyle w:val="105"/>
        <w:numPr>
          <w:ilvl w:val="2"/>
          <w:numId w:val="2"/>
        </w:numPr>
        <w:outlineLvl w:val="9"/>
        <w:rPr>
          <w:rFonts w:ascii="Times New Roman"/>
        </w:rPr>
      </w:pPr>
      <w:r>
        <w:rPr>
          <w:rFonts w:ascii="Times New Roman"/>
        </w:rPr>
        <w:t>县级生态环境部门应</w:t>
      </w:r>
      <w:r>
        <w:rPr>
          <w:rFonts w:hint="eastAsia" w:ascii="Times New Roman"/>
        </w:rPr>
        <w:t>掌握</w:t>
      </w:r>
      <w:r>
        <w:rPr>
          <w:rFonts w:ascii="Times New Roman"/>
        </w:rPr>
        <w:t>辖区内</w:t>
      </w:r>
      <w:r>
        <w:rPr>
          <w:rFonts w:hint="eastAsia" w:ascii="Times New Roman"/>
        </w:rPr>
        <w:t>小型焚烧</w:t>
      </w:r>
      <w:r>
        <w:rPr>
          <w:rFonts w:ascii="Times New Roman"/>
        </w:rPr>
        <w:t>设施的数量、规模、工艺、运行状况及污染物排放监测数据。</w:t>
      </w:r>
    </w:p>
    <w:p w14:paraId="440AC25B">
      <w:pPr>
        <w:pStyle w:val="105"/>
        <w:numPr>
          <w:ilvl w:val="2"/>
          <w:numId w:val="2"/>
        </w:numPr>
        <w:outlineLvl w:val="9"/>
        <w:rPr>
          <w:rFonts w:ascii="Times New Roman"/>
        </w:rPr>
      </w:pPr>
      <w:r>
        <w:rPr>
          <w:rFonts w:ascii="Times New Roman"/>
        </w:rPr>
        <w:t>县级生态环境部门应按照GB 18485的要求，定期组织开展小型焚烧设施监督性监测，并及时评估环境风险。对规模较小、地处偏远的小型焚烧设施，每年应至少开展1次监督性监测</w:t>
      </w:r>
      <w:r>
        <w:rPr>
          <w:rFonts w:hint="eastAsia" w:ascii="Times New Roman"/>
        </w:rPr>
        <w:t>。</w:t>
      </w:r>
    </w:p>
    <w:p w14:paraId="3D39B968">
      <w:pPr>
        <w:pStyle w:val="105"/>
        <w:numPr>
          <w:ilvl w:val="2"/>
          <w:numId w:val="2"/>
        </w:numPr>
        <w:outlineLvl w:val="9"/>
        <w:rPr>
          <w:rFonts w:ascii="Times New Roman"/>
        </w:rPr>
      </w:pPr>
      <w:r>
        <w:rPr>
          <w:rFonts w:ascii="Times New Roman"/>
        </w:rPr>
        <w:t>达不到本文件环境风险防控技术要求的小型焚烧设施，应自本文件施行之日起3年内完成整改改造。改造后仍不达标的，</w:t>
      </w:r>
      <w:r>
        <w:rPr>
          <w:rFonts w:hint="eastAsia" w:ascii="Times New Roman"/>
        </w:rPr>
        <w:t>不应</w:t>
      </w:r>
      <w:r>
        <w:rPr>
          <w:rFonts w:ascii="Times New Roman"/>
        </w:rPr>
        <w:t>继续投入运行。</w:t>
      </w:r>
    </w:p>
    <w:p w14:paraId="0EA61664">
      <w:pPr>
        <w:autoSpaceDE w:val="0"/>
        <w:autoSpaceDN w:val="0"/>
        <w:ind w:firstLine="420" w:firstLineChars="200"/>
        <w:jc w:val="both"/>
        <w:rPr>
          <w:kern w:val="0"/>
          <w:szCs w:val="20"/>
        </w:rPr>
      </w:pPr>
    </w:p>
    <w:p w14:paraId="32F30B0B">
      <w:pPr>
        <w:autoSpaceDE w:val="0"/>
        <w:autoSpaceDN w:val="0"/>
        <w:ind w:firstLine="420" w:firstLineChars="200"/>
        <w:jc w:val="both"/>
        <w:rPr>
          <w:kern w:val="0"/>
          <w:szCs w:val="20"/>
        </w:rPr>
        <w:sectPr>
          <w:headerReference r:id="rId5" w:type="default"/>
          <w:footerReference r:id="rId7" w:type="default"/>
          <w:headerReference r:id="rId6" w:type="even"/>
          <w:pgSz w:w="11906" w:h="16838"/>
          <w:pgMar w:top="1928" w:right="1134" w:bottom="1134" w:left="1134" w:header="1418" w:footer="1134" w:gutter="284"/>
          <w:pgNumType w:start="1"/>
          <w:cols w:space="425" w:num="1"/>
          <w:formProt w:val="0"/>
          <w:docGrid w:type="lines" w:linePitch="312" w:charSpace="0"/>
        </w:sectPr>
      </w:pPr>
    </w:p>
    <w:p w14:paraId="51039150">
      <w:pPr>
        <w:autoSpaceDE w:val="0"/>
        <w:autoSpaceDN w:val="0"/>
        <w:spacing w:line="14" w:lineRule="exact"/>
        <w:ind w:left="420"/>
        <w:jc w:val="center"/>
        <w:rPr>
          <w:rFonts w:eastAsia="黑体"/>
          <w:vanish/>
          <w:kern w:val="0"/>
          <w:sz w:val="2"/>
          <w:szCs w:val="21"/>
        </w:rPr>
      </w:pPr>
      <w:bookmarkStart w:id="104" w:name="BookMark5"/>
    </w:p>
    <w:bookmarkEnd w:id="104"/>
    <w:p w14:paraId="429C21E4">
      <w:pPr>
        <w:shd w:val="clear" w:color="FFFFFF" w:fill="FFFFFF"/>
        <w:tabs>
          <w:tab w:val="left" w:pos="6406"/>
        </w:tabs>
        <w:spacing w:before="560" w:afterLines="50"/>
        <w:jc w:val="center"/>
        <w:outlineLvl w:val="0"/>
        <w:rPr>
          <w:rFonts w:eastAsia="黑体"/>
          <w:vanish/>
          <w:kern w:val="0"/>
          <w:sz w:val="2"/>
          <w:szCs w:val="20"/>
        </w:rPr>
      </w:pPr>
    </w:p>
    <w:sectPr>
      <w:headerReference r:id="rId8" w:type="even"/>
      <w:footerReference r:id="rId9" w:type="even"/>
      <w:pgSz w:w="11907" w:h="16839"/>
      <w:pgMar w:top="1440" w:right="1800" w:bottom="1440" w:left="1800"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CFA67">
    <w:pPr>
      <w:pStyle w:val="24"/>
      <w:ind w:left="360" w:hanging="360"/>
    </w:pPr>
    <w:r>
      <w:fldChar w:fldCharType="begin"/>
    </w:r>
    <w:r>
      <w:instrText xml:space="preserve">PAGE   \* MERGEFORMAT</w:instrText>
    </w:r>
    <w:r>
      <w:fldChar w:fldCharType="separate"/>
    </w:r>
    <w: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E10C8">
    <w:pPr>
      <w:pStyle w:val="126"/>
    </w:pPr>
    <w:r>
      <w:fldChar w:fldCharType="begin"/>
    </w:r>
    <w:r>
      <w:instrText xml:space="preserve">PAGE   \* MERGEFORMAT</w:instrText>
    </w:r>
    <w:r>
      <w:fldChar w:fldCharType="separate"/>
    </w:r>
    <w:r>
      <w:rPr>
        <w:lang w:val="zh-CN"/>
      </w:rPr>
      <w:t>9</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7F9F5">
    <w:pPr>
      <w:pStyle w:val="24"/>
      <w:ind w:left="360" w:hanging="360"/>
    </w:pPr>
    <w:r>
      <w:fldChar w:fldCharType="begin"/>
    </w:r>
    <w:r>
      <w:instrText xml:space="preserve">PAGE   \* MERGEFORMAT</w:instrText>
    </w:r>
    <w:r>
      <w:fldChar w:fldCharType="separate"/>
    </w:r>
    <w:r>
      <w:t>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69C8A">
    <w:pPr>
      <w:pStyle w:val="103"/>
      <w:spacing w:before="120" w:after="120"/>
      <w:ind w:left="420"/>
      <w:jc w:val="left"/>
    </w:pPr>
    <w:r>
      <w:rPr>
        <w:rFonts w:hint="eastAsia" w:hAnsi="黑体"/>
      </w:rPr>
      <w:t>生活垃圾焚烧发电厂现场监督检查技术指南</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DE8CD">
    <w:pPr>
      <w:pStyle w:val="12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0CF7">
    <w:pPr>
      <w:pStyle w:val="25"/>
      <w:jc w:val="right"/>
      <w:rPr>
        <w:lang w:val="fr-FR"/>
      </w:rPr>
    </w:pPr>
    <w:r>
      <w:fldChar w:fldCharType="begin"/>
    </w:r>
    <w:r>
      <w:instrText xml:space="preserve"> STYLEREF  标准文件_文件编号  \* MERGEFORMAT </w:instrText>
    </w:r>
    <w:r>
      <w:fldChar w:fldCharType="separate"/>
    </w:r>
    <w:r>
      <w:rPr>
        <w:b/>
      </w:rPr>
      <w:t>错误！未定义样式。</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67394">
    <w:pPr>
      <w:pStyle w:val="103"/>
      <w:spacing w:before="120" w:after="120"/>
      <w:ind w:left="420"/>
      <w:jc w:val="left"/>
    </w:pPr>
    <w:r>
      <w:rPr>
        <w:rFonts w:hint="eastAsia" w:hAnsi="黑体"/>
      </w:rPr>
      <w:t>生活垃圾焚烧发电厂现场监督检查技术指南</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69A891"/>
    <w:multiLevelType w:val="multilevel"/>
    <w:tmpl w:val="CC69A891"/>
    <w:lvl w:ilvl="0" w:tentative="0">
      <w:start w:val="1"/>
      <w:numFmt w:val="lowerLetter"/>
      <w:lvlText w:val="%1)"/>
      <w:lvlJc w:val="left"/>
      <w:pPr>
        <w:ind w:left="860" w:hanging="440"/>
      </w:pPr>
      <w:rPr>
        <w:rFonts w:hint="default" w:ascii="Times New Roman" w:hAnsi="Times New Roman" w:eastAsia="宋体" w:cs="Times New Roman"/>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
    <w:nsid w:val="D68F98D0"/>
    <w:multiLevelType w:val="multilevel"/>
    <w:tmpl w:val="D68F98D0"/>
    <w:lvl w:ilvl="0" w:tentative="0">
      <w:start w:val="1"/>
      <w:numFmt w:val="lowerLetter"/>
      <w:lvlText w:val="%1)"/>
      <w:lvlJc w:val="left"/>
      <w:pPr>
        <w:ind w:left="860" w:hanging="440"/>
      </w:pPr>
      <w:rPr>
        <w:rFonts w:hint="default" w:ascii="Times New Roman" w:hAnsi="Times New Roman" w:eastAsia="宋体" w:cs="Times New Roman"/>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
    <w:nsid w:val="F05A9576"/>
    <w:multiLevelType w:val="multilevel"/>
    <w:tmpl w:val="F05A9576"/>
    <w:lvl w:ilvl="0" w:tentative="0">
      <w:start w:val="1"/>
      <w:numFmt w:val="lowerLetter"/>
      <w:lvlText w:val="%1)"/>
      <w:lvlJc w:val="left"/>
      <w:pPr>
        <w:ind w:left="860" w:hanging="440"/>
      </w:pPr>
      <w:rPr>
        <w:rFonts w:hint="default" w:ascii="Times New Roman" w:hAnsi="Times New Roman" w:eastAsia="宋体" w:cs="Times New Roman"/>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3">
    <w:nsid w:val="02129CB4"/>
    <w:multiLevelType w:val="multilevel"/>
    <w:tmpl w:val="02129CB4"/>
    <w:lvl w:ilvl="0" w:tentative="0">
      <w:start w:val="1"/>
      <w:numFmt w:val="lowerLetter"/>
      <w:lvlText w:val="%1)"/>
      <w:lvlJc w:val="left"/>
      <w:pPr>
        <w:ind w:left="860" w:hanging="440"/>
      </w:pPr>
      <w:rPr>
        <w:rFonts w:hint="default" w:ascii="Times New Roman" w:hAnsi="Times New Roman" w:eastAsia="宋体" w:cs="Times New Roman"/>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4">
    <w:nsid w:val="027564F0"/>
    <w:multiLevelType w:val="multilevel"/>
    <w:tmpl w:val="027564F0"/>
    <w:lvl w:ilvl="0" w:tentative="0">
      <w:start w:val="1"/>
      <w:numFmt w:val="decimal"/>
      <w:pStyle w:val="2"/>
      <w:lvlText w:val="%1"/>
      <w:lvlJc w:val="left"/>
      <w:pPr>
        <w:ind w:left="432" w:hanging="432"/>
      </w:pPr>
    </w:lvl>
    <w:lvl w:ilvl="1" w:tentative="0">
      <w:start w:val="1"/>
      <w:numFmt w:val="decimal"/>
      <w:pStyle w:val="3"/>
      <w:lvlText w:val="%1.%2"/>
      <w:lvlJc w:val="left"/>
      <w:pPr>
        <w:ind w:left="1285"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lvlText w:val="%1.%2.%3.%4.%5.%6.%7.%8.%9"/>
      <w:lvlJc w:val="left"/>
      <w:pPr>
        <w:ind w:left="1584" w:hanging="1584"/>
      </w:pPr>
    </w:lvl>
  </w:abstractNum>
  <w:abstractNum w:abstractNumId="5">
    <w:nsid w:val="147D2BEB"/>
    <w:multiLevelType w:val="multilevel"/>
    <w:tmpl w:val="147D2BEB"/>
    <w:lvl w:ilvl="0" w:tentative="0">
      <w:start w:val="1"/>
      <w:numFmt w:val="lowerLetter"/>
      <w:lvlText w:val="%1)"/>
      <w:lvlJc w:val="left"/>
      <w:pPr>
        <w:ind w:left="860" w:hanging="440"/>
      </w:pPr>
      <w:rPr>
        <w:rFonts w:hint="default" w:ascii="Times New Roman" w:hAnsi="Times New Roman" w:eastAsia="宋体" w:cs="Times New Roman"/>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6">
    <w:nsid w:val="157E2744"/>
    <w:multiLevelType w:val="multilevel"/>
    <w:tmpl w:val="157E2744"/>
    <w:lvl w:ilvl="0" w:tentative="0">
      <w:start w:val="1"/>
      <w:numFmt w:val="lowerLetter"/>
      <w:lvlText w:val="%1)"/>
      <w:lvlJc w:val="left"/>
      <w:pPr>
        <w:ind w:left="860" w:hanging="440"/>
      </w:pPr>
      <w:rPr>
        <w:rFonts w:hint="default" w:ascii="Times New Roman" w:hAnsi="Times New Roman" w:eastAsia="宋体" w:cs="Times New Roman"/>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7">
    <w:nsid w:val="1FC91163"/>
    <w:multiLevelType w:val="multilevel"/>
    <w:tmpl w:val="1FC91163"/>
    <w:lvl w:ilvl="0" w:tentative="0">
      <w:start w:val="1"/>
      <w:numFmt w:val="decimal"/>
      <w:pStyle w:val="101"/>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98"/>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color w:val="000000"/>
        <w:spacing w:val="0"/>
        <w:kern w:val="0"/>
        <w:position w:val="0"/>
        <w:sz w:val="21"/>
        <w:szCs w:val="21"/>
        <w:u w:val="none"/>
        <w:vertAlign w:val="baseline"/>
      </w:rPr>
    </w:lvl>
    <w:lvl w:ilvl="2" w:tentative="0">
      <w:start w:val="1"/>
      <w:numFmt w:val="decimal"/>
      <w:pStyle w:val="100"/>
      <w:suff w:val="nothing"/>
      <w:lvlText w:val="%1.%2.%3　"/>
      <w:lvlJc w:val="left"/>
      <w:pPr>
        <w:ind w:left="0" w:firstLine="0"/>
      </w:pPr>
      <w:rPr>
        <w:rFonts w:hint="eastAsia" w:ascii="黑体" w:hAnsi="Times New Roman" w:eastAsia="黑体"/>
        <w:b w:val="0"/>
        <w:i w:val="0"/>
        <w:strike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21560AE4"/>
    <w:multiLevelType w:val="multilevel"/>
    <w:tmpl w:val="21560AE4"/>
    <w:lvl w:ilvl="0" w:tentative="0">
      <w:start w:val="1"/>
      <w:numFmt w:val="lowerLetter"/>
      <w:lvlText w:val="%1)"/>
      <w:lvlJc w:val="left"/>
      <w:pPr>
        <w:ind w:left="860" w:hanging="440"/>
      </w:pPr>
      <w:rPr>
        <w:sz w:val="21"/>
        <w:szCs w:val="21"/>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9">
    <w:nsid w:val="225C68BF"/>
    <w:multiLevelType w:val="multilevel"/>
    <w:tmpl w:val="225C68BF"/>
    <w:lvl w:ilvl="0" w:tentative="0">
      <w:start w:val="1"/>
      <w:numFmt w:val="lowerLetter"/>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0">
    <w:nsid w:val="387364B6"/>
    <w:multiLevelType w:val="multilevel"/>
    <w:tmpl w:val="387364B6"/>
    <w:lvl w:ilvl="0" w:tentative="0">
      <w:start w:val="1"/>
      <w:numFmt w:val="lowerLetter"/>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1">
    <w:nsid w:val="45577078"/>
    <w:multiLevelType w:val="multilevel"/>
    <w:tmpl w:val="45577078"/>
    <w:lvl w:ilvl="0" w:tentative="0">
      <w:start w:val="1"/>
      <w:numFmt w:val="lowerLetter"/>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2">
    <w:nsid w:val="575D6571"/>
    <w:multiLevelType w:val="multilevel"/>
    <w:tmpl w:val="575D6571"/>
    <w:lvl w:ilvl="0" w:tentative="0">
      <w:start w:val="1"/>
      <w:numFmt w:val="lowerLetter"/>
      <w:lvlText w:val="%1)"/>
      <w:lvlJc w:val="left"/>
      <w:pPr>
        <w:ind w:left="860" w:hanging="440"/>
      </w:pPr>
      <w:rPr>
        <w:rFonts w:hint="default" w:ascii="Times New Roman" w:hAnsi="Times New Roman" w:eastAsia="宋体" w:cs="Times New Roman"/>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3">
    <w:nsid w:val="58417097"/>
    <w:multiLevelType w:val="multilevel"/>
    <w:tmpl w:val="58417097"/>
    <w:lvl w:ilvl="0" w:tentative="0">
      <w:start w:val="1"/>
      <w:numFmt w:val="lowerLetter"/>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4">
    <w:nsid w:val="6AC13EC8"/>
    <w:multiLevelType w:val="multilevel"/>
    <w:tmpl w:val="6AC13EC8"/>
    <w:lvl w:ilvl="0" w:tentative="0">
      <w:start w:val="1"/>
      <w:numFmt w:val="lowerLetter"/>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num w:numId="1">
    <w:abstractNumId w:val="4"/>
  </w:num>
  <w:num w:numId="2">
    <w:abstractNumId w:val="7"/>
  </w:num>
  <w:num w:numId="3">
    <w:abstractNumId w:val="5"/>
  </w:num>
  <w:num w:numId="4">
    <w:abstractNumId w:val="1"/>
  </w:num>
  <w:num w:numId="5">
    <w:abstractNumId w:val="3"/>
  </w:num>
  <w:num w:numId="6">
    <w:abstractNumId w:val="6"/>
  </w:num>
  <w:num w:numId="7">
    <w:abstractNumId w:val="9"/>
  </w:num>
  <w:num w:numId="8">
    <w:abstractNumId w:val="13"/>
  </w:num>
  <w:num w:numId="9">
    <w:abstractNumId w:val="2"/>
  </w:num>
  <w:num w:numId="10">
    <w:abstractNumId w:val="8"/>
  </w:num>
  <w:num w:numId="11">
    <w:abstractNumId w:val="0"/>
  </w:num>
  <w:num w:numId="12">
    <w:abstractNumId w:val="10"/>
  </w:num>
  <w:num w:numId="13">
    <w:abstractNumId w:val="12"/>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265"/>
    <w:rsid w:val="00006117"/>
    <w:rsid w:val="000146C3"/>
    <w:rsid w:val="0002053F"/>
    <w:rsid w:val="00026460"/>
    <w:rsid w:val="000264D2"/>
    <w:rsid w:val="00030C27"/>
    <w:rsid w:val="000317AD"/>
    <w:rsid w:val="00054085"/>
    <w:rsid w:val="00056483"/>
    <w:rsid w:val="000626C9"/>
    <w:rsid w:val="00062A38"/>
    <w:rsid w:val="0006664F"/>
    <w:rsid w:val="000678CC"/>
    <w:rsid w:val="00070C63"/>
    <w:rsid w:val="0007379D"/>
    <w:rsid w:val="00073B7D"/>
    <w:rsid w:val="0007609A"/>
    <w:rsid w:val="0007640F"/>
    <w:rsid w:val="00076504"/>
    <w:rsid w:val="00082EE7"/>
    <w:rsid w:val="000833D1"/>
    <w:rsid w:val="000927FD"/>
    <w:rsid w:val="000932E7"/>
    <w:rsid w:val="00093F58"/>
    <w:rsid w:val="000943F3"/>
    <w:rsid w:val="00094B95"/>
    <w:rsid w:val="000A2C4E"/>
    <w:rsid w:val="000A5A2A"/>
    <w:rsid w:val="000B0281"/>
    <w:rsid w:val="000B0BB5"/>
    <w:rsid w:val="000B1E7D"/>
    <w:rsid w:val="000B219F"/>
    <w:rsid w:val="000B4157"/>
    <w:rsid w:val="000C00DA"/>
    <w:rsid w:val="000C1368"/>
    <w:rsid w:val="000C5EE3"/>
    <w:rsid w:val="000C7AA6"/>
    <w:rsid w:val="000C7FF6"/>
    <w:rsid w:val="000D3768"/>
    <w:rsid w:val="000D5087"/>
    <w:rsid w:val="000D6719"/>
    <w:rsid w:val="000D7131"/>
    <w:rsid w:val="000E359D"/>
    <w:rsid w:val="000E5D3D"/>
    <w:rsid w:val="000F1797"/>
    <w:rsid w:val="000F2D77"/>
    <w:rsid w:val="000F5BE0"/>
    <w:rsid w:val="000F6A60"/>
    <w:rsid w:val="0010094F"/>
    <w:rsid w:val="00100B57"/>
    <w:rsid w:val="00101699"/>
    <w:rsid w:val="00105F6C"/>
    <w:rsid w:val="00107362"/>
    <w:rsid w:val="001073CD"/>
    <w:rsid w:val="001141AB"/>
    <w:rsid w:val="0011421A"/>
    <w:rsid w:val="001202FF"/>
    <w:rsid w:val="001226AE"/>
    <w:rsid w:val="00124793"/>
    <w:rsid w:val="001307DF"/>
    <w:rsid w:val="00131736"/>
    <w:rsid w:val="00132268"/>
    <w:rsid w:val="00132F3C"/>
    <w:rsid w:val="00140C3E"/>
    <w:rsid w:val="00143E6D"/>
    <w:rsid w:val="00150BCB"/>
    <w:rsid w:val="00151182"/>
    <w:rsid w:val="00154423"/>
    <w:rsid w:val="00155C06"/>
    <w:rsid w:val="00156C2D"/>
    <w:rsid w:val="001571C0"/>
    <w:rsid w:val="0015772C"/>
    <w:rsid w:val="00162A30"/>
    <w:rsid w:val="0017043E"/>
    <w:rsid w:val="00170DF3"/>
    <w:rsid w:val="00174C85"/>
    <w:rsid w:val="00175367"/>
    <w:rsid w:val="00176697"/>
    <w:rsid w:val="0018014F"/>
    <w:rsid w:val="0018240E"/>
    <w:rsid w:val="00184D87"/>
    <w:rsid w:val="0018799B"/>
    <w:rsid w:val="00192D60"/>
    <w:rsid w:val="001945C8"/>
    <w:rsid w:val="001A31FF"/>
    <w:rsid w:val="001A42B1"/>
    <w:rsid w:val="001A466A"/>
    <w:rsid w:val="001A5BA1"/>
    <w:rsid w:val="001B2F6C"/>
    <w:rsid w:val="001B757C"/>
    <w:rsid w:val="001C30FA"/>
    <w:rsid w:val="001C6973"/>
    <w:rsid w:val="001D577B"/>
    <w:rsid w:val="001D7E1C"/>
    <w:rsid w:val="001E343B"/>
    <w:rsid w:val="001E42A0"/>
    <w:rsid w:val="001E4F7B"/>
    <w:rsid w:val="001E5657"/>
    <w:rsid w:val="001F28B0"/>
    <w:rsid w:val="001F4E51"/>
    <w:rsid w:val="00201CBF"/>
    <w:rsid w:val="00203081"/>
    <w:rsid w:val="00204A39"/>
    <w:rsid w:val="00205CD9"/>
    <w:rsid w:val="00212E92"/>
    <w:rsid w:val="002178CE"/>
    <w:rsid w:val="00217B0E"/>
    <w:rsid w:val="002203AA"/>
    <w:rsid w:val="00223D64"/>
    <w:rsid w:val="00226019"/>
    <w:rsid w:val="00231A95"/>
    <w:rsid w:val="002328C2"/>
    <w:rsid w:val="00240F37"/>
    <w:rsid w:val="00244478"/>
    <w:rsid w:val="00244775"/>
    <w:rsid w:val="002466FA"/>
    <w:rsid w:val="00246DD8"/>
    <w:rsid w:val="0024780C"/>
    <w:rsid w:val="00247E39"/>
    <w:rsid w:val="00250809"/>
    <w:rsid w:val="00252C77"/>
    <w:rsid w:val="002540B6"/>
    <w:rsid w:val="002604C0"/>
    <w:rsid w:val="0026264F"/>
    <w:rsid w:val="0026533A"/>
    <w:rsid w:val="002672A5"/>
    <w:rsid w:val="002701CF"/>
    <w:rsid w:val="00273BD1"/>
    <w:rsid w:val="00273FF5"/>
    <w:rsid w:val="00274755"/>
    <w:rsid w:val="00274D6F"/>
    <w:rsid w:val="00274E39"/>
    <w:rsid w:val="0028508F"/>
    <w:rsid w:val="00295B7D"/>
    <w:rsid w:val="002A03EA"/>
    <w:rsid w:val="002A1C76"/>
    <w:rsid w:val="002A3D2B"/>
    <w:rsid w:val="002A55FA"/>
    <w:rsid w:val="002B3EFC"/>
    <w:rsid w:val="002B4D42"/>
    <w:rsid w:val="002B6B4E"/>
    <w:rsid w:val="002B6D16"/>
    <w:rsid w:val="002B6F46"/>
    <w:rsid w:val="002D01E7"/>
    <w:rsid w:val="002D0C70"/>
    <w:rsid w:val="002D55E9"/>
    <w:rsid w:val="002D7590"/>
    <w:rsid w:val="002E7A5A"/>
    <w:rsid w:val="002F1495"/>
    <w:rsid w:val="002F1C0C"/>
    <w:rsid w:val="002F348C"/>
    <w:rsid w:val="002F3829"/>
    <w:rsid w:val="002F7E47"/>
    <w:rsid w:val="003013A2"/>
    <w:rsid w:val="003013A3"/>
    <w:rsid w:val="00302B19"/>
    <w:rsid w:val="0030361E"/>
    <w:rsid w:val="00304AE9"/>
    <w:rsid w:val="00306D85"/>
    <w:rsid w:val="00314025"/>
    <w:rsid w:val="00317A7B"/>
    <w:rsid w:val="0032003E"/>
    <w:rsid w:val="00330028"/>
    <w:rsid w:val="00341559"/>
    <w:rsid w:val="0034621E"/>
    <w:rsid w:val="003472B7"/>
    <w:rsid w:val="003517B9"/>
    <w:rsid w:val="00354063"/>
    <w:rsid w:val="0036195A"/>
    <w:rsid w:val="0036548C"/>
    <w:rsid w:val="00366BD2"/>
    <w:rsid w:val="00367562"/>
    <w:rsid w:val="003718B5"/>
    <w:rsid w:val="00373972"/>
    <w:rsid w:val="00374DF0"/>
    <w:rsid w:val="00377576"/>
    <w:rsid w:val="00380A5C"/>
    <w:rsid w:val="0038160F"/>
    <w:rsid w:val="00384D9F"/>
    <w:rsid w:val="003879FC"/>
    <w:rsid w:val="0039132D"/>
    <w:rsid w:val="00391CC5"/>
    <w:rsid w:val="00392F1F"/>
    <w:rsid w:val="003931AC"/>
    <w:rsid w:val="003954B1"/>
    <w:rsid w:val="003965C2"/>
    <w:rsid w:val="00396951"/>
    <w:rsid w:val="00397996"/>
    <w:rsid w:val="003A3418"/>
    <w:rsid w:val="003A3F1C"/>
    <w:rsid w:val="003B11A7"/>
    <w:rsid w:val="003B3572"/>
    <w:rsid w:val="003B7349"/>
    <w:rsid w:val="003C055D"/>
    <w:rsid w:val="003C060D"/>
    <w:rsid w:val="003C1B1F"/>
    <w:rsid w:val="003C6F9D"/>
    <w:rsid w:val="003C7833"/>
    <w:rsid w:val="003C7F96"/>
    <w:rsid w:val="003D068D"/>
    <w:rsid w:val="003D08AE"/>
    <w:rsid w:val="003D39CC"/>
    <w:rsid w:val="003D3AA9"/>
    <w:rsid w:val="003E263B"/>
    <w:rsid w:val="003E2A7E"/>
    <w:rsid w:val="003E2F15"/>
    <w:rsid w:val="003E311F"/>
    <w:rsid w:val="003E7259"/>
    <w:rsid w:val="003F2164"/>
    <w:rsid w:val="003F21A2"/>
    <w:rsid w:val="003F3D0A"/>
    <w:rsid w:val="003F47FC"/>
    <w:rsid w:val="003F628E"/>
    <w:rsid w:val="003F6D03"/>
    <w:rsid w:val="003F732E"/>
    <w:rsid w:val="00400A6A"/>
    <w:rsid w:val="00400AA5"/>
    <w:rsid w:val="004017E6"/>
    <w:rsid w:val="00402239"/>
    <w:rsid w:val="0041190C"/>
    <w:rsid w:val="00414A21"/>
    <w:rsid w:val="00426258"/>
    <w:rsid w:val="00430FF3"/>
    <w:rsid w:val="00432DAA"/>
    <w:rsid w:val="00435D32"/>
    <w:rsid w:val="004409C8"/>
    <w:rsid w:val="0044202D"/>
    <w:rsid w:val="0044524B"/>
    <w:rsid w:val="00453BD8"/>
    <w:rsid w:val="00454814"/>
    <w:rsid w:val="00454E1E"/>
    <w:rsid w:val="00455CC7"/>
    <w:rsid w:val="00460B6D"/>
    <w:rsid w:val="00461307"/>
    <w:rsid w:val="00461B1D"/>
    <w:rsid w:val="004621A9"/>
    <w:rsid w:val="004658EB"/>
    <w:rsid w:val="00466104"/>
    <w:rsid w:val="00477D18"/>
    <w:rsid w:val="00481A50"/>
    <w:rsid w:val="004840CA"/>
    <w:rsid w:val="00485961"/>
    <w:rsid w:val="0048774F"/>
    <w:rsid w:val="004933CA"/>
    <w:rsid w:val="00493CE0"/>
    <w:rsid w:val="004970E7"/>
    <w:rsid w:val="004A3ECB"/>
    <w:rsid w:val="004A6B09"/>
    <w:rsid w:val="004B1005"/>
    <w:rsid w:val="004B1A7C"/>
    <w:rsid w:val="004B20E6"/>
    <w:rsid w:val="004B3A99"/>
    <w:rsid w:val="004B3CCC"/>
    <w:rsid w:val="004C0B15"/>
    <w:rsid w:val="004D4431"/>
    <w:rsid w:val="004D5B5B"/>
    <w:rsid w:val="004D63D1"/>
    <w:rsid w:val="004D67F1"/>
    <w:rsid w:val="004D6BDE"/>
    <w:rsid w:val="004E28E7"/>
    <w:rsid w:val="004E53A5"/>
    <w:rsid w:val="004F0041"/>
    <w:rsid w:val="004F4438"/>
    <w:rsid w:val="004F5F56"/>
    <w:rsid w:val="0050282B"/>
    <w:rsid w:val="005039B7"/>
    <w:rsid w:val="0050569E"/>
    <w:rsid w:val="005112F4"/>
    <w:rsid w:val="00512E8B"/>
    <w:rsid w:val="00514A37"/>
    <w:rsid w:val="005156BE"/>
    <w:rsid w:val="0051571E"/>
    <w:rsid w:val="00517F11"/>
    <w:rsid w:val="00520D58"/>
    <w:rsid w:val="0052302D"/>
    <w:rsid w:val="0052382A"/>
    <w:rsid w:val="00530DC1"/>
    <w:rsid w:val="00534BAF"/>
    <w:rsid w:val="00545662"/>
    <w:rsid w:val="00546FA0"/>
    <w:rsid w:val="005579FE"/>
    <w:rsid w:val="005605E8"/>
    <w:rsid w:val="00561E35"/>
    <w:rsid w:val="00563DD4"/>
    <w:rsid w:val="00566F12"/>
    <w:rsid w:val="005717A7"/>
    <w:rsid w:val="0057452F"/>
    <w:rsid w:val="00577B32"/>
    <w:rsid w:val="00583ECD"/>
    <w:rsid w:val="00584942"/>
    <w:rsid w:val="00590038"/>
    <w:rsid w:val="00592E51"/>
    <w:rsid w:val="005A1A66"/>
    <w:rsid w:val="005A452E"/>
    <w:rsid w:val="005A5FB0"/>
    <w:rsid w:val="005B1A13"/>
    <w:rsid w:val="005B28B5"/>
    <w:rsid w:val="005B3494"/>
    <w:rsid w:val="005B3496"/>
    <w:rsid w:val="005C4A50"/>
    <w:rsid w:val="005C6A11"/>
    <w:rsid w:val="005C7B11"/>
    <w:rsid w:val="005D2164"/>
    <w:rsid w:val="005E5BA1"/>
    <w:rsid w:val="005F1191"/>
    <w:rsid w:val="005F13E3"/>
    <w:rsid w:val="005F2144"/>
    <w:rsid w:val="005F5DD2"/>
    <w:rsid w:val="00602BD9"/>
    <w:rsid w:val="00602C1A"/>
    <w:rsid w:val="00614AFD"/>
    <w:rsid w:val="00623733"/>
    <w:rsid w:val="00623E96"/>
    <w:rsid w:val="0062765F"/>
    <w:rsid w:val="00632D64"/>
    <w:rsid w:val="006372F7"/>
    <w:rsid w:val="00637568"/>
    <w:rsid w:val="006413A1"/>
    <w:rsid w:val="00644E48"/>
    <w:rsid w:val="006463B9"/>
    <w:rsid w:val="0064704B"/>
    <w:rsid w:val="00655982"/>
    <w:rsid w:val="00661E05"/>
    <w:rsid w:val="00662C0C"/>
    <w:rsid w:val="00666FCF"/>
    <w:rsid w:val="0066755B"/>
    <w:rsid w:val="00671C6D"/>
    <w:rsid w:val="00672DC5"/>
    <w:rsid w:val="0067683C"/>
    <w:rsid w:val="00676FA3"/>
    <w:rsid w:val="00685BD3"/>
    <w:rsid w:val="006928F7"/>
    <w:rsid w:val="006A026C"/>
    <w:rsid w:val="006A1305"/>
    <w:rsid w:val="006A299A"/>
    <w:rsid w:val="006A36C8"/>
    <w:rsid w:val="006A56B9"/>
    <w:rsid w:val="006A5798"/>
    <w:rsid w:val="006A5FD9"/>
    <w:rsid w:val="006A6DCF"/>
    <w:rsid w:val="006B19A1"/>
    <w:rsid w:val="006B43B3"/>
    <w:rsid w:val="006B5173"/>
    <w:rsid w:val="006C1609"/>
    <w:rsid w:val="006C635D"/>
    <w:rsid w:val="006C7788"/>
    <w:rsid w:val="006D1A54"/>
    <w:rsid w:val="006D32AE"/>
    <w:rsid w:val="006D77DF"/>
    <w:rsid w:val="006D7A39"/>
    <w:rsid w:val="006E1CF0"/>
    <w:rsid w:val="006E26C1"/>
    <w:rsid w:val="006E3356"/>
    <w:rsid w:val="006E3C3F"/>
    <w:rsid w:val="006F10C1"/>
    <w:rsid w:val="006F6970"/>
    <w:rsid w:val="006F7135"/>
    <w:rsid w:val="00700A4A"/>
    <w:rsid w:val="00703AFE"/>
    <w:rsid w:val="00704AA8"/>
    <w:rsid w:val="00705EA8"/>
    <w:rsid w:val="00707B90"/>
    <w:rsid w:val="0071013E"/>
    <w:rsid w:val="0071052D"/>
    <w:rsid w:val="007167F2"/>
    <w:rsid w:val="00720A2F"/>
    <w:rsid w:val="007210F5"/>
    <w:rsid w:val="00724E7D"/>
    <w:rsid w:val="007251A4"/>
    <w:rsid w:val="007273A9"/>
    <w:rsid w:val="00734440"/>
    <w:rsid w:val="00735FAF"/>
    <w:rsid w:val="00741C30"/>
    <w:rsid w:val="00745837"/>
    <w:rsid w:val="007477DD"/>
    <w:rsid w:val="0075311B"/>
    <w:rsid w:val="0075344A"/>
    <w:rsid w:val="007549CD"/>
    <w:rsid w:val="00757038"/>
    <w:rsid w:val="0075734C"/>
    <w:rsid w:val="00760C4A"/>
    <w:rsid w:val="007619BE"/>
    <w:rsid w:val="00761C00"/>
    <w:rsid w:val="00762774"/>
    <w:rsid w:val="007660DE"/>
    <w:rsid w:val="0077325A"/>
    <w:rsid w:val="0077398F"/>
    <w:rsid w:val="0078180F"/>
    <w:rsid w:val="0078226B"/>
    <w:rsid w:val="0078227B"/>
    <w:rsid w:val="00786047"/>
    <w:rsid w:val="007868A1"/>
    <w:rsid w:val="00796A8B"/>
    <w:rsid w:val="00796ABD"/>
    <w:rsid w:val="00797427"/>
    <w:rsid w:val="007976E1"/>
    <w:rsid w:val="007B0588"/>
    <w:rsid w:val="007B0AA8"/>
    <w:rsid w:val="007B0B38"/>
    <w:rsid w:val="007B2FEA"/>
    <w:rsid w:val="007B70D3"/>
    <w:rsid w:val="007C000F"/>
    <w:rsid w:val="007C023D"/>
    <w:rsid w:val="007C0A61"/>
    <w:rsid w:val="007C2F9C"/>
    <w:rsid w:val="007C364E"/>
    <w:rsid w:val="007D1A7B"/>
    <w:rsid w:val="007D3232"/>
    <w:rsid w:val="007D4D15"/>
    <w:rsid w:val="007E0FA8"/>
    <w:rsid w:val="007E1C23"/>
    <w:rsid w:val="007E466A"/>
    <w:rsid w:val="007E7488"/>
    <w:rsid w:val="007F7B84"/>
    <w:rsid w:val="00801415"/>
    <w:rsid w:val="00801564"/>
    <w:rsid w:val="00803F30"/>
    <w:rsid w:val="00804B69"/>
    <w:rsid w:val="00805575"/>
    <w:rsid w:val="0080627A"/>
    <w:rsid w:val="008126BD"/>
    <w:rsid w:val="008146C9"/>
    <w:rsid w:val="00815432"/>
    <w:rsid w:val="00815F87"/>
    <w:rsid w:val="00822265"/>
    <w:rsid w:val="008224BB"/>
    <w:rsid w:val="00823838"/>
    <w:rsid w:val="00824946"/>
    <w:rsid w:val="00833870"/>
    <w:rsid w:val="00835280"/>
    <w:rsid w:val="008375B8"/>
    <w:rsid w:val="008436EA"/>
    <w:rsid w:val="00844A3B"/>
    <w:rsid w:val="00846139"/>
    <w:rsid w:val="00847BE3"/>
    <w:rsid w:val="00850171"/>
    <w:rsid w:val="00850FB1"/>
    <w:rsid w:val="00853F68"/>
    <w:rsid w:val="00854AFA"/>
    <w:rsid w:val="00857B2B"/>
    <w:rsid w:val="008638AE"/>
    <w:rsid w:val="008707BA"/>
    <w:rsid w:val="0087242B"/>
    <w:rsid w:val="00872BCE"/>
    <w:rsid w:val="00874946"/>
    <w:rsid w:val="00875744"/>
    <w:rsid w:val="00876569"/>
    <w:rsid w:val="0087790E"/>
    <w:rsid w:val="00877A2F"/>
    <w:rsid w:val="008857D8"/>
    <w:rsid w:val="00891125"/>
    <w:rsid w:val="008944BF"/>
    <w:rsid w:val="00895113"/>
    <w:rsid w:val="008A0B32"/>
    <w:rsid w:val="008A44FA"/>
    <w:rsid w:val="008A6702"/>
    <w:rsid w:val="008A6C14"/>
    <w:rsid w:val="008A7FC1"/>
    <w:rsid w:val="008B6330"/>
    <w:rsid w:val="008C1618"/>
    <w:rsid w:val="008C6A2C"/>
    <w:rsid w:val="008C78AB"/>
    <w:rsid w:val="008C78DF"/>
    <w:rsid w:val="008D27A2"/>
    <w:rsid w:val="008D743C"/>
    <w:rsid w:val="008D7AA9"/>
    <w:rsid w:val="008E54B6"/>
    <w:rsid w:val="008E5875"/>
    <w:rsid w:val="008E6C6C"/>
    <w:rsid w:val="008F6D1B"/>
    <w:rsid w:val="008F70E6"/>
    <w:rsid w:val="009018F8"/>
    <w:rsid w:val="00911F85"/>
    <w:rsid w:val="00912A6B"/>
    <w:rsid w:val="00920C5E"/>
    <w:rsid w:val="00921AF2"/>
    <w:rsid w:val="009342A3"/>
    <w:rsid w:val="00941279"/>
    <w:rsid w:val="00941B04"/>
    <w:rsid w:val="00944C25"/>
    <w:rsid w:val="00951C14"/>
    <w:rsid w:val="009521D0"/>
    <w:rsid w:val="00953C43"/>
    <w:rsid w:val="00963295"/>
    <w:rsid w:val="00964B6E"/>
    <w:rsid w:val="0096577D"/>
    <w:rsid w:val="0096587B"/>
    <w:rsid w:val="00977265"/>
    <w:rsid w:val="009806CC"/>
    <w:rsid w:val="009812D1"/>
    <w:rsid w:val="00981829"/>
    <w:rsid w:val="00984FFC"/>
    <w:rsid w:val="009853CD"/>
    <w:rsid w:val="009903CC"/>
    <w:rsid w:val="00990D1E"/>
    <w:rsid w:val="00991282"/>
    <w:rsid w:val="00992EC9"/>
    <w:rsid w:val="009A3588"/>
    <w:rsid w:val="009A391C"/>
    <w:rsid w:val="009A7014"/>
    <w:rsid w:val="009B00B3"/>
    <w:rsid w:val="009B043E"/>
    <w:rsid w:val="009B78A9"/>
    <w:rsid w:val="009C2E1D"/>
    <w:rsid w:val="009C448C"/>
    <w:rsid w:val="009C55BE"/>
    <w:rsid w:val="009C7BAE"/>
    <w:rsid w:val="009D7B37"/>
    <w:rsid w:val="009E0D16"/>
    <w:rsid w:val="009E4ACB"/>
    <w:rsid w:val="009E4E45"/>
    <w:rsid w:val="009E690B"/>
    <w:rsid w:val="009F03B6"/>
    <w:rsid w:val="009F0753"/>
    <w:rsid w:val="009F18F1"/>
    <w:rsid w:val="009F24B9"/>
    <w:rsid w:val="009F3F06"/>
    <w:rsid w:val="00A03883"/>
    <w:rsid w:val="00A04116"/>
    <w:rsid w:val="00A04B30"/>
    <w:rsid w:val="00A10F8F"/>
    <w:rsid w:val="00A12BBF"/>
    <w:rsid w:val="00A15A96"/>
    <w:rsid w:val="00A16B0E"/>
    <w:rsid w:val="00A16BEF"/>
    <w:rsid w:val="00A173F0"/>
    <w:rsid w:val="00A174B8"/>
    <w:rsid w:val="00A203C7"/>
    <w:rsid w:val="00A22E4B"/>
    <w:rsid w:val="00A3005B"/>
    <w:rsid w:val="00A303D5"/>
    <w:rsid w:val="00A312F8"/>
    <w:rsid w:val="00A315E4"/>
    <w:rsid w:val="00A32688"/>
    <w:rsid w:val="00A33527"/>
    <w:rsid w:val="00A36D6F"/>
    <w:rsid w:val="00A377B3"/>
    <w:rsid w:val="00A42DDC"/>
    <w:rsid w:val="00A46E3E"/>
    <w:rsid w:val="00A50A11"/>
    <w:rsid w:val="00A567E2"/>
    <w:rsid w:val="00A60F6E"/>
    <w:rsid w:val="00A628A3"/>
    <w:rsid w:val="00A64319"/>
    <w:rsid w:val="00A65085"/>
    <w:rsid w:val="00A659C5"/>
    <w:rsid w:val="00A74EA0"/>
    <w:rsid w:val="00A75183"/>
    <w:rsid w:val="00A75860"/>
    <w:rsid w:val="00A76977"/>
    <w:rsid w:val="00A76D5D"/>
    <w:rsid w:val="00A84770"/>
    <w:rsid w:val="00A85DC7"/>
    <w:rsid w:val="00A860AE"/>
    <w:rsid w:val="00A90CFA"/>
    <w:rsid w:val="00A90E0F"/>
    <w:rsid w:val="00AA04F9"/>
    <w:rsid w:val="00AA34FE"/>
    <w:rsid w:val="00AA48BB"/>
    <w:rsid w:val="00AA5C6A"/>
    <w:rsid w:val="00AA75C3"/>
    <w:rsid w:val="00AB1965"/>
    <w:rsid w:val="00AB1AD5"/>
    <w:rsid w:val="00AB22C8"/>
    <w:rsid w:val="00AB429F"/>
    <w:rsid w:val="00AB52F9"/>
    <w:rsid w:val="00AB7DA9"/>
    <w:rsid w:val="00AC2E97"/>
    <w:rsid w:val="00AC6645"/>
    <w:rsid w:val="00AC6DCC"/>
    <w:rsid w:val="00AD03F5"/>
    <w:rsid w:val="00AD2323"/>
    <w:rsid w:val="00AD2CEB"/>
    <w:rsid w:val="00AD2D08"/>
    <w:rsid w:val="00AD2D8F"/>
    <w:rsid w:val="00AD75D7"/>
    <w:rsid w:val="00AE1AB6"/>
    <w:rsid w:val="00AE2696"/>
    <w:rsid w:val="00AE51D8"/>
    <w:rsid w:val="00AE6027"/>
    <w:rsid w:val="00AE6293"/>
    <w:rsid w:val="00AF034B"/>
    <w:rsid w:val="00AF0967"/>
    <w:rsid w:val="00AF3B23"/>
    <w:rsid w:val="00AF6AE6"/>
    <w:rsid w:val="00B029F3"/>
    <w:rsid w:val="00B104C8"/>
    <w:rsid w:val="00B11241"/>
    <w:rsid w:val="00B14DBB"/>
    <w:rsid w:val="00B160E9"/>
    <w:rsid w:val="00B16ADF"/>
    <w:rsid w:val="00B22A4B"/>
    <w:rsid w:val="00B34015"/>
    <w:rsid w:val="00B40F2D"/>
    <w:rsid w:val="00B425FA"/>
    <w:rsid w:val="00B449B2"/>
    <w:rsid w:val="00B4698F"/>
    <w:rsid w:val="00B52597"/>
    <w:rsid w:val="00B55110"/>
    <w:rsid w:val="00B568F1"/>
    <w:rsid w:val="00B6353A"/>
    <w:rsid w:val="00B65B5D"/>
    <w:rsid w:val="00B65B7E"/>
    <w:rsid w:val="00B70538"/>
    <w:rsid w:val="00B72255"/>
    <w:rsid w:val="00B72FDF"/>
    <w:rsid w:val="00B73AD1"/>
    <w:rsid w:val="00B74AD1"/>
    <w:rsid w:val="00B76D21"/>
    <w:rsid w:val="00B80226"/>
    <w:rsid w:val="00B82833"/>
    <w:rsid w:val="00B8319B"/>
    <w:rsid w:val="00B8402F"/>
    <w:rsid w:val="00B840E5"/>
    <w:rsid w:val="00B845DE"/>
    <w:rsid w:val="00B936CE"/>
    <w:rsid w:val="00B970C9"/>
    <w:rsid w:val="00BA5EAB"/>
    <w:rsid w:val="00BB294D"/>
    <w:rsid w:val="00BB2BC6"/>
    <w:rsid w:val="00BB2EC7"/>
    <w:rsid w:val="00BB6E5B"/>
    <w:rsid w:val="00BC060F"/>
    <w:rsid w:val="00BC1E3F"/>
    <w:rsid w:val="00BC77AE"/>
    <w:rsid w:val="00BC7E8D"/>
    <w:rsid w:val="00BD1D54"/>
    <w:rsid w:val="00BD5463"/>
    <w:rsid w:val="00BD598C"/>
    <w:rsid w:val="00BE3442"/>
    <w:rsid w:val="00BE408F"/>
    <w:rsid w:val="00BE4119"/>
    <w:rsid w:val="00BE6AEA"/>
    <w:rsid w:val="00BE7820"/>
    <w:rsid w:val="00BF135F"/>
    <w:rsid w:val="00BF1D0D"/>
    <w:rsid w:val="00BF2E55"/>
    <w:rsid w:val="00BF31B9"/>
    <w:rsid w:val="00C00FFE"/>
    <w:rsid w:val="00C05797"/>
    <w:rsid w:val="00C06D47"/>
    <w:rsid w:val="00C109FD"/>
    <w:rsid w:val="00C12610"/>
    <w:rsid w:val="00C1303F"/>
    <w:rsid w:val="00C139EA"/>
    <w:rsid w:val="00C14128"/>
    <w:rsid w:val="00C15F68"/>
    <w:rsid w:val="00C17319"/>
    <w:rsid w:val="00C21F1B"/>
    <w:rsid w:val="00C2436E"/>
    <w:rsid w:val="00C25D65"/>
    <w:rsid w:val="00C26AB6"/>
    <w:rsid w:val="00C272CA"/>
    <w:rsid w:val="00C30220"/>
    <w:rsid w:val="00C30297"/>
    <w:rsid w:val="00C31E2F"/>
    <w:rsid w:val="00C321C1"/>
    <w:rsid w:val="00C352EC"/>
    <w:rsid w:val="00C35CD6"/>
    <w:rsid w:val="00C41338"/>
    <w:rsid w:val="00C42B85"/>
    <w:rsid w:val="00C43897"/>
    <w:rsid w:val="00C46673"/>
    <w:rsid w:val="00C5085F"/>
    <w:rsid w:val="00C5159A"/>
    <w:rsid w:val="00C51CF3"/>
    <w:rsid w:val="00C51D5F"/>
    <w:rsid w:val="00C569D9"/>
    <w:rsid w:val="00C56E0B"/>
    <w:rsid w:val="00C64955"/>
    <w:rsid w:val="00C735F6"/>
    <w:rsid w:val="00C74569"/>
    <w:rsid w:val="00C75384"/>
    <w:rsid w:val="00C80F60"/>
    <w:rsid w:val="00C833C2"/>
    <w:rsid w:val="00C8466D"/>
    <w:rsid w:val="00C87021"/>
    <w:rsid w:val="00C95327"/>
    <w:rsid w:val="00C961ED"/>
    <w:rsid w:val="00CA182F"/>
    <w:rsid w:val="00CA2762"/>
    <w:rsid w:val="00CA419C"/>
    <w:rsid w:val="00CA7012"/>
    <w:rsid w:val="00CB0A0F"/>
    <w:rsid w:val="00CB1035"/>
    <w:rsid w:val="00CB258F"/>
    <w:rsid w:val="00CB5B6C"/>
    <w:rsid w:val="00CB7586"/>
    <w:rsid w:val="00CC1FDC"/>
    <w:rsid w:val="00CC2542"/>
    <w:rsid w:val="00CC37C3"/>
    <w:rsid w:val="00CC3D5E"/>
    <w:rsid w:val="00CD07CB"/>
    <w:rsid w:val="00CD17BE"/>
    <w:rsid w:val="00CD23AD"/>
    <w:rsid w:val="00CD2B32"/>
    <w:rsid w:val="00CD3EC1"/>
    <w:rsid w:val="00CE1552"/>
    <w:rsid w:val="00CE188D"/>
    <w:rsid w:val="00CE6F6F"/>
    <w:rsid w:val="00CE71B1"/>
    <w:rsid w:val="00CF610B"/>
    <w:rsid w:val="00CF7B9F"/>
    <w:rsid w:val="00D063F8"/>
    <w:rsid w:val="00D06B2A"/>
    <w:rsid w:val="00D106F5"/>
    <w:rsid w:val="00D12E57"/>
    <w:rsid w:val="00D159FC"/>
    <w:rsid w:val="00D200DE"/>
    <w:rsid w:val="00D21428"/>
    <w:rsid w:val="00D22BF2"/>
    <w:rsid w:val="00D26066"/>
    <w:rsid w:val="00D27165"/>
    <w:rsid w:val="00D339DA"/>
    <w:rsid w:val="00D34D81"/>
    <w:rsid w:val="00D373AC"/>
    <w:rsid w:val="00D3790B"/>
    <w:rsid w:val="00D40476"/>
    <w:rsid w:val="00D40D37"/>
    <w:rsid w:val="00D40EC0"/>
    <w:rsid w:val="00D4200D"/>
    <w:rsid w:val="00D44A23"/>
    <w:rsid w:val="00D4581F"/>
    <w:rsid w:val="00D467D0"/>
    <w:rsid w:val="00D567BF"/>
    <w:rsid w:val="00D57BAE"/>
    <w:rsid w:val="00D61250"/>
    <w:rsid w:val="00D61D2C"/>
    <w:rsid w:val="00D62AB1"/>
    <w:rsid w:val="00D63E88"/>
    <w:rsid w:val="00D6562D"/>
    <w:rsid w:val="00D6574B"/>
    <w:rsid w:val="00D738A8"/>
    <w:rsid w:val="00D771FA"/>
    <w:rsid w:val="00D77BF6"/>
    <w:rsid w:val="00D94F77"/>
    <w:rsid w:val="00D95142"/>
    <w:rsid w:val="00D96A0C"/>
    <w:rsid w:val="00D97CD3"/>
    <w:rsid w:val="00DA3E60"/>
    <w:rsid w:val="00DA4482"/>
    <w:rsid w:val="00DA46E1"/>
    <w:rsid w:val="00DA78D9"/>
    <w:rsid w:val="00DA7A9F"/>
    <w:rsid w:val="00DA7C18"/>
    <w:rsid w:val="00DB3D8E"/>
    <w:rsid w:val="00DB456A"/>
    <w:rsid w:val="00DC1377"/>
    <w:rsid w:val="00DC4D2C"/>
    <w:rsid w:val="00DD120D"/>
    <w:rsid w:val="00DD13C3"/>
    <w:rsid w:val="00DD3230"/>
    <w:rsid w:val="00DD60DB"/>
    <w:rsid w:val="00DD6D94"/>
    <w:rsid w:val="00DD73D3"/>
    <w:rsid w:val="00DE110A"/>
    <w:rsid w:val="00DE3B57"/>
    <w:rsid w:val="00DE6785"/>
    <w:rsid w:val="00DE7C12"/>
    <w:rsid w:val="00DF25D4"/>
    <w:rsid w:val="00DF52E3"/>
    <w:rsid w:val="00DF69F2"/>
    <w:rsid w:val="00E0069E"/>
    <w:rsid w:val="00E01003"/>
    <w:rsid w:val="00E01EB6"/>
    <w:rsid w:val="00E02A64"/>
    <w:rsid w:val="00E10690"/>
    <w:rsid w:val="00E1254B"/>
    <w:rsid w:val="00E13002"/>
    <w:rsid w:val="00E143FE"/>
    <w:rsid w:val="00E177B8"/>
    <w:rsid w:val="00E24E81"/>
    <w:rsid w:val="00E250D3"/>
    <w:rsid w:val="00E31378"/>
    <w:rsid w:val="00E31A37"/>
    <w:rsid w:val="00E45919"/>
    <w:rsid w:val="00E45DA5"/>
    <w:rsid w:val="00E466E7"/>
    <w:rsid w:val="00E50638"/>
    <w:rsid w:val="00E53217"/>
    <w:rsid w:val="00E55758"/>
    <w:rsid w:val="00E5657C"/>
    <w:rsid w:val="00E62ECA"/>
    <w:rsid w:val="00E62FDC"/>
    <w:rsid w:val="00E636FF"/>
    <w:rsid w:val="00E63800"/>
    <w:rsid w:val="00E67F40"/>
    <w:rsid w:val="00E75280"/>
    <w:rsid w:val="00E760EF"/>
    <w:rsid w:val="00E802E1"/>
    <w:rsid w:val="00E81E2E"/>
    <w:rsid w:val="00E85FCC"/>
    <w:rsid w:val="00E8760F"/>
    <w:rsid w:val="00E902BC"/>
    <w:rsid w:val="00E9206C"/>
    <w:rsid w:val="00EA22E6"/>
    <w:rsid w:val="00EA24B4"/>
    <w:rsid w:val="00EA38C5"/>
    <w:rsid w:val="00EA425D"/>
    <w:rsid w:val="00EA53CB"/>
    <w:rsid w:val="00EA70A2"/>
    <w:rsid w:val="00EB000C"/>
    <w:rsid w:val="00EB1A46"/>
    <w:rsid w:val="00EB6D5F"/>
    <w:rsid w:val="00EB6ECE"/>
    <w:rsid w:val="00EC232A"/>
    <w:rsid w:val="00EC488D"/>
    <w:rsid w:val="00ED04F7"/>
    <w:rsid w:val="00ED1543"/>
    <w:rsid w:val="00ED5A14"/>
    <w:rsid w:val="00EE3198"/>
    <w:rsid w:val="00EE35B5"/>
    <w:rsid w:val="00EE5482"/>
    <w:rsid w:val="00EE6167"/>
    <w:rsid w:val="00EE7B93"/>
    <w:rsid w:val="00EF0114"/>
    <w:rsid w:val="00EF0464"/>
    <w:rsid w:val="00EF1713"/>
    <w:rsid w:val="00EF1FB5"/>
    <w:rsid w:val="00EF2D55"/>
    <w:rsid w:val="00EF36D8"/>
    <w:rsid w:val="00EF515A"/>
    <w:rsid w:val="00EF5D83"/>
    <w:rsid w:val="00EF659B"/>
    <w:rsid w:val="00F01A34"/>
    <w:rsid w:val="00F02597"/>
    <w:rsid w:val="00F02995"/>
    <w:rsid w:val="00F0416B"/>
    <w:rsid w:val="00F0649F"/>
    <w:rsid w:val="00F10A2F"/>
    <w:rsid w:val="00F14D8B"/>
    <w:rsid w:val="00F238FE"/>
    <w:rsid w:val="00F2635C"/>
    <w:rsid w:val="00F305C1"/>
    <w:rsid w:val="00F3528F"/>
    <w:rsid w:val="00F40411"/>
    <w:rsid w:val="00F40DDA"/>
    <w:rsid w:val="00F43675"/>
    <w:rsid w:val="00F45C19"/>
    <w:rsid w:val="00F466D8"/>
    <w:rsid w:val="00F54C96"/>
    <w:rsid w:val="00F634DD"/>
    <w:rsid w:val="00F659A5"/>
    <w:rsid w:val="00F65EFD"/>
    <w:rsid w:val="00F7554F"/>
    <w:rsid w:val="00F75CE2"/>
    <w:rsid w:val="00F808CE"/>
    <w:rsid w:val="00F824F8"/>
    <w:rsid w:val="00F87682"/>
    <w:rsid w:val="00F9547F"/>
    <w:rsid w:val="00F97BEF"/>
    <w:rsid w:val="00FA0FD4"/>
    <w:rsid w:val="00FA10EF"/>
    <w:rsid w:val="00FA207B"/>
    <w:rsid w:val="00FA6EAD"/>
    <w:rsid w:val="00FB1A22"/>
    <w:rsid w:val="00FB3490"/>
    <w:rsid w:val="00FC4DBA"/>
    <w:rsid w:val="00FC51EE"/>
    <w:rsid w:val="00FC544C"/>
    <w:rsid w:val="00FC578A"/>
    <w:rsid w:val="00FC643D"/>
    <w:rsid w:val="00FC6C01"/>
    <w:rsid w:val="00FD1465"/>
    <w:rsid w:val="00FE0404"/>
    <w:rsid w:val="00FF0FF3"/>
    <w:rsid w:val="00FF222D"/>
    <w:rsid w:val="00FF543C"/>
    <w:rsid w:val="04EC4DC2"/>
    <w:rsid w:val="05DD246D"/>
    <w:rsid w:val="05F768CA"/>
    <w:rsid w:val="07A9040B"/>
    <w:rsid w:val="0B4F4EDF"/>
    <w:rsid w:val="0CE02843"/>
    <w:rsid w:val="0DBE0DD6"/>
    <w:rsid w:val="0EBB5316"/>
    <w:rsid w:val="10EC17B7"/>
    <w:rsid w:val="12C80001"/>
    <w:rsid w:val="1340228E"/>
    <w:rsid w:val="14AF1479"/>
    <w:rsid w:val="16B72867"/>
    <w:rsid w:val="185C4966"/>
    <w:rsid w:val="1D325A08"/>
    <w:rsid w:val="1DDD4649"/>
    <w:rsid w:val="1EBD7F56"/>
    <w:rsid w:val="229A5A91"/>
    <w:rsid w:val="24C50845"/>
    <w:rsid w:val="260B64FA"/>
    <w:rsid w:val="271C2272"/>
    <w:rsid w:val="2D2A56E9"/>
    <w:rsid w:val="2E9848D4"/>
    <w:rsid w:val="2EFA558F"/>
    <w:rsid w:val="319B4E07"/>
    <w:rsid w:val="31F95FA7"/>
    <w:rsid w:val="32F83B93"/>
    <w:rsid w:val="3329750E"/>
    <w:rsid w:val="33F94067"/>
    <w:rsid w:val="355F7EFA"/>
    <w:rsid w:val="361C5B5C"/>
    <w:rsid w:val="37386C54"/>
    <w:rsid w:val="37A34A15"/>
    <w:rsid w:val="3A442CED"/>
    <w:rsid w:val="3B590718"/>
    <w:rsid w:val="3FE45BCB"/>
    <w:rsid w:val="404664B8"/>
    <w:rsid w:val="416E7E42"/>
    <w:rsid w:val="42BE0987"/>
    <w:rsid w:val="43B35F95"/>
    <w:rsid w:val="47D227AD"/>
    <w:rsid w:val="47D429C9"/>
    <w:rsid w:val="481E7D9D"/>
    <w:rsid w:val="4A696166"/>
    <w:rsid w:val="4ABD1B1C"/>
    <w:rsid w:val="4B4A0713"/>
    <w:rsid w:val="4D3D4B6D"/>
    <w:rsid w:val="53FC1FC4"/>
    <w:rsid w:val="543640C4"/>
    <w:rsid w:val="57BB47CB"/>
    <w:rsid w:val="59B054CC"/>
    <w:rsid w:val="5AE26D53"/>
    <w:rsid w:val="5AE368F9"/>
    <w:rsid w:val="5E7D74BF"/>
    <w:rsid w:val="60B64DAB"/>
    <w:rsid w:val="60EA0710"/>
    <w:rsid w:val="61695AD8"/>
    <w:rsid w:val="6A940324"/>
    <w:rsid w:val="6D045388"/>
    <w:rsid w:val="6DC02F24"/>
    <w:rsid w:val="6E5416F9"/>
    <w:rsid w:val="6F421950"/>
    <w:rsid w:val="6FC648B3"/>
    <w:rsid w:val="6FF2313D"/>
    <w:rsid w:val="704158C2"/>
    <w:rsid w:val="71010A9C"/>
    <w:rsid w:val="713175D4"/>
    <w:rsid w:val="743F1774"/>
    <w:rsid w:val="7544443B"/>
    <w:rsid w:val="75CB690A"/>
    <w:rsid w:val="770502E2"/>
    <w:rsid w:val="770B6A41"/>
    <w:rsid w:val="78283BA0"/>
    <w:rsid w:val="79A715B3"/>
    <w:rsid w:val="7ACA5BDC"/>
    <w:rsid w:val="7BAC6588"/>
    <w:rsid w:val="7D4C0330"/>
    <w:rsid w:val="7D6F2271"/>
    <w:rsid w:val="82FB1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uiPriority="39" w:semiHidden="0" w:name="toc 6"/>
    <w:lsdException w:qFormat="1" w:uiPriority="39" w:semiHidden="0" w:name="toc 7"/>
    <w:lsdException w:qFormat="1" w:uiPriority="39" w:semiHidden="0" w:name="toc 8"/>
    <w:lsdException w:qFormat="1" w:uiPriority="39" w:semiHidden="0" w:name="toc 9"/>
    <w:lsdException w:qFormat="1" w:uiPriority="99" w:name="Normal Indent"/>
    <w:lsdException w:uiPriority="99" w:name="footnote text"/>
    <w:lsdException w:qFormat="1" w:uiPriority="99" w:semiHidden="0" w:name="annotation text"/>
    <w:lsdException w:qFormat="1" w:uiPriority="99" w:semiHidden="0" w:name="header"/>
    <w:lsdException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qFormat="1" w:unhideWhenUsed="0" w:uiPriority="0" w:semiHidden="0"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2"/>
      <w:sz w:val="21"/>
      <w:szCs w:val="24"/>
      <w:lang w:val="en-US" w:eastAsia="zh-CN" w:bidi="ar-SA"/>
    </w:rPr>
  </w:style>
  <w:style w:type="paragraph" w:styleId="2">
    <w:name w:val="heading 1"/>
    <w:next w:val="1"/>
    <w:link w:val="44"/>
    <w:qFormat/>
    <w:uiPriority w:val="0"/>
    <w:pPr>
      <w:keepNext/>
      <w:keepLines/>
      <w:numPr>
        <w:ilvl w:val="0"/>
        <w:numId w:val="1"/>
      </w:numPr>
      <w:spacing w:before="240" w:after="240" w:line="360" w:lineRule="auto"/>
      <w:outlineLvl w:val="0"/>
    </w:pPr>
    <w:rPr>
      <w:rFonts w:ascii="Times New Roman" w:hAnsi="Times New Roman" w:eastAsia="黑体" w:cs="Times New Roman"/>
      <w:b/>
      <w:bCs/>
      <w:kern w:val="44"/>
      <w:sz w:val="32"/>
      <w:szCs w:val="44"/>
      <w:lang w:val="en-US" w:eastAsia="zh-CN" w:bidi="ar-SA"/>
    </w:rPr>
  </w:style>
  <w:style w:type="paragraph" w:styleId="3">
    <w:name w:val="heading 2"/>
    <w:next w:val="1"/>
    <w:link w:val="45"/>
    <w:qFormat/>
    <w:uiPriority w:val="0"/>
    <w:pPr>
      <w:keepNext/>
      <w:keepLines/>
      <w:numPr>
        <w:ilvl w:val="1"/>
        <w:numId w:val="1"/>
      </w:numPr>
      <w:spacing w:before="120" w:after="120" w:line="360" w:lineRule="auto"/>
      <w:outlineLvl w:val="1"/>
    </w:pPr>
    <w:rPr>
      <w:rFonts w:ascii="Times New Roman" w:hAnsi="Times New Roman" w:eastAsia="黑体" w:cs="Times New Roman"/>
      <w:b/>
      <w:bCs/>
      <w:kern w:val="2"/>
      <w:sz w:val="30"/>
      <w:szCs w:val="32"/>
      <w:lang w:val="en-US" w:eastAsia="zh-CN" w:bidi="ar-SA"/>
    </w:rPr>
  </w:style>
  <w:style w:type="paragraph" w:styleId="4">
    <w:name w:val="heading 3"/>
    <w:next w:val="1"/>
    <w:link w:val="46"/>
    <w:qFormat/>
    <w:uiPriority w:val="9"/>
    <w:pPr>
      <w:keepNext/>
      <w:keepLines/>
      <w:numPr>
        <w:ilvl w:val="2"/>
        <w:numId w:val="1"/>
      </w:numPr>
      <w:spacing w:beforeLines="50" w:afterLines="50" w:line="360" w:lineRule="auto"/>
      <w:outlineLvl w:val="2"/>
    </w:pPr>
    <w:rPr>
      <w:rFonts w:ascii="Times New Roman" w:hAnsi="Times New Roman" w:eastAsia="黑体" w:cs="Times New Roman"/>
      <w:b/>
      <w:bCs/>
      <w:kern w:val="2"/>
      <w:sz w:val="28"/>
      <w:szCs w:val="32"/>
      <w:lang w:val="en-US" w:eastAsia="zh-CN" w:bidi="ar-SA"/>
    </w:rPr>
  </w:style>
  <w:style w:type="paragraph" w:styleId="5">
    <w:name w:val="heading 4"/>
    <w:next w:val="1"/>
    <w:link w:val="47"/>
    <w:qFormat/>
    <w:uiPriority w:val="9"/>
    <w:pPr>
      <w:keepNext/>
      <w:keepLines/>
      <w:numPr>
        <w:ilvl w:val="3"/>
        <w:numId w:val="1"/>
      </w:numPr>
      <w:spacing w:beforeLines="50" w:afterLines="50" w:line="360" w:lineRule="auto"/>
      <w:outlineLvl w:val="3"/>
    </w:pPr>
    <w:rPr>
      <w:rFonts w:ascii="Times New Roman" w:hAnsi="Times New Roman" w:eastAsia="宋体" w:cs="Times New Roman"/>
      <w:b/>
      <w:bCs/>
      <w:kern w:val="2"/>
      <w:sz w:val="24"/>
      <w:szCs w:val="28"/>
      <w:lang w:val="en-US" w:eastAsia="zh-CN" w:bidi="ar-SA"/>
    </w:rPr>
  </w:style>
  <w:style w:type="paragraph" w:styleId="6">
    <w:name w:val="heading 5"/>
    <w:basedOn w:val="1"/>
    <w:next w:val="1"/>
    <w:link w:val="48"/>
    <w:semiHidden/>
    <w:unhideWhenUsed/>
    <w:qFormat/>
    <w:uiPriority w:val="9"/>
    <w:pPr>
      <w:keepNext/>
      <w:keepLines/>
      <w:numPr>
        <w:ilvl w:val="4"/>
        <w:numId w:val="1"/>
      </w:numPr>
      <w:spacing w:before="280" w:after="290" w:line="376" w:lineRule="auto"/>
      <w:ind w:firstLine="0"/>
      <w:outlineLvl w:val="4"/>
    </w:pPr>
    <w:rPr>
      <w:b/>
      <w:bCs/>
      <w:szCs w:val="28"/>
    </w:rPr>
  </w:style>
  <w:style w:type="paragraph" w:styleId="7">
    <w:name w:val="heading 6"/>
    <w:basedOn w:val="1"/>
    <w:next w:val="1"/>
    <w:link w:val="49"/>
    <w:semiHidden/>
    <w:unhideWhenUsed/>
    <w:qFormat/>
    <w:uiPriority w:val="9"/>
    <w:pPr>
      <w:keepNext/>
      <w:keepLines/>
      <w:numPr>
        <w:ilvl w:val="5"/>
        <w:numId w:val="1"/>
      </w:numPr>
      <w:spacing w:before="240" w:after="64" w:line="320" w:lineRule="auto"/>
      <w:ind w:firstLine="0"/>
      <w:outlineLvl w:val="5"/>
    </w:pPr>
    <w:rPr>
      <w:rFonts w:asciiTheme="majorHAnsi" w:hAnsiTheme="majorHAnsi" w:eastAsiaTheme="majorEastAsia" w:cstheme="majorBidi"/>
      <w:b/>
      <w:bCs/>
    </w:rPr>
  </w:style>
  <w:style w:type="paragraph" w:styleId="8">
    <w:name w:val="heading 7"/>
    <w:basedOn w:val="1"/>
    <w:next w:val="1"/>
    <w:link w:val="50"/>
    <w:semiHidden/>
    <w:unhideWhenUsed/>
    <w:qFormat/>
    <w:uiPriority w:val="9"/>
    <w:pPr>
      <w:keepNext/>
      <w:keepLines/>
      <w:numPr>
        <w:ilvl w:val="6"/>
        <w:numId w:val="1"/>
      </w:numPr>
      <w:spacing w:before="240" w:after="64" w:line="320" w:lineRule="auto"/>
      <w:ind w:firstLine="0"/>
      <w:outlineLvl w:val="6"/>
    </w:pPr>
    <w:rPr>
      <w:b/>
      <w:bCs/>
    </w:rPr>
  </w:style>
  <w:style w:type="paragraph" w:styleId="9">
    <w:name w:val="heading 8"/>
    <w:basedOn w:val="1"/>
    <w:next w:val="1"/>
    <w:link w:val="51"/>
    <w:semiHidden/>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rPr>
  </w:style>
  <w:style w:type="paragraph" w:styleId="10">
    <w:name w:val="heading 9"/>
    <w:basedOn w:val="1"/>
    <w:next w:val="1"/>
    <w:link w:val="52"/>
    <w:semiHidden/>
    <w:unhideWhenUsed/>
    <w:qFormat/>
    <w:uiPriority w:val="9"/>
    <w:pPr>
      <w:keepNext/>
      <w:keepLines/>
      <w:spacing w:before="240" w:after="64" w:line="320" w:lineRule="auto"/>
      <w:ind w:left="1584"/>
      <w:outlineLvl w:val="8"/>
    </w:pPr>
    <w:rPr>
      <w:rFonts w:asciiTheme="majorHAnsi" w:hAnsiTheme="majorHAnsi" w:eastAsiaTheme="majorEastAsia" w:cstheme="majorBidi"/>
      <w:szCs w:val="21"/>
    </w:rPr>
  </w:style>
  <w:style w:type="character" w:default="1" w:styleId="38">
    <w:name w:val="Default Paragraph Font"/>
    <w:semiHidden/>
    <w:unhideWhenUsed/>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ind w:left="1440"/>
    </w:pPr>
    <w:rPr>
      <w:rFonts w:asciiTheme="minorHAnsi" w:hAnsiTheme="minorHAnsi" w:cstheme="minorHAnsi"/>
      <w:sz w:val="18"/>
      <w:szCs w:val="18"/>
    </w:rPr>
  </w:style>
  <w:style w:type="paragraph" w:styleId="12">
    <w:name w:val="Normal Indent"/>
    <w:basedOn w:val="1"/>
    <w:semiHidden/>
    <w:unhideWhenUsed/>
    <w:qFormat/>
    <w:uiPriority w:val="99"/>
    <w:pPr>
      <w:ind w:firstLine="420"/>
    </w:pPr>
    <w:rPr>
      <w:szCs w:val="21"/>
    </w:rPr>
  </w:style>
  <w:style w:type="paragraph" w:styleId="13">
    <w:name w:val="caption"/>
    <w:basedOn w:val="1"/>
    <w:next w:val="1"/>
    <w:unhideWhenUsed/>
    <w:qFormat/>
    <w:uiPriority w:val="0"/>
    <w:rPr>
      <w:rFonts w:eastAsia="黑体" w:asciiTheme="majorHAnsi" w:hAnsiTheme="majorHAnsi" w:cstheme="majorBidi"/>
      <w:sz w:val="20"/>
      <w:szCs w:val="20"/>
    </w:rPr>
  </w:style>
  <w:style w:type="paragraph" w:styleId="14">
    <w:name w:val="Document Map"/>
    <w:basedOn w:val="1"/>
    <w:link w:val="129"/>
    <w:semiHidden/>
    <w:unhideWhenUsed/>
    <w:qFormat/>
    <w:uiPriority w:val="99"/>
    <w:rPr>
      <w:rFonts w:ascii="宋体"/>
      <w:sz w:val="18"/>
      <w:szCs w:val="18"/>
    </w:rPr>
  </w:style>
  <w:style w:type="paragraph" w:styleId="15">
    <w:name w:val="annotation text"/>
    <w:basedOn w:val="1"/>
    <w:link w:val="93"/>
    <w:unhideWhenUsed/>
    <w:qFormat/>
    <w:uiPriority w:val="99"/>
    <w:rPr>
      <w:rFonts w:asciiTheme="minorHAnsi" w:hAnsiTheme="minorHAnsi" w:eastAsiaTheme="minorEastAsia"/>
    </w:rPr>
  </w:style>
  <w:style w:type="paragraph" w:styleId="16">
    <w:name w:val="Body Text"/>
    <w:basedOn w:val="1"/>
    <w:link w:val="54"/>
    <w:semiHidden/>
    <w:unhideWhenUsed/>
    <w:qFormat/>
    <w:uiPriority w:val="99"/>
    <w:pPr>
      <w:spacing w:after="120"/>
    </w:pPr>
  </w:style>
  <w:style w:type="paragraph" w:styleId="17">
    <w:name w:val="Body Text Indent"/>
    <w:basedOn w:val="1"/>
    <w:link w:val="78"/>
    <w:semiHidden/>
    <w:unhideWhenUsed/>
    <w:qFormat/>
    <w:uiPriority w:val="99"/>
    <w:pPr>
      <w:spacing w:after="120"/>
      <w:ind w:left="420" w:leftChars="200"/>
    </w:pPr>
  </w:style>
  <w:style w:type="paragraph" w:styleId="18">
    <w:name w:val="toc 5"/>
    <w:basedOn w:val="1"/>
    <w:next w:val="1"/>
    <w:autoRedefine/>
    <w:unhideWhenUsed/>
    <w:qFormat/>
    <w:uiPriority w:val="39"/>
    <w:pPr>
      <w:ind w:left="960"/>
    </w:pPr>
    <w:rPr>
      <w:rFonts w:asciiTheme="minorHAnsi" w:hAnsiTheme="minorHAnsi" w:cstheme="minorHAnsi"/>
      <w:sz w:val="18"/>
      <w:szCs w:val="18"/>
    </w:rPr>
  </w:style>
  <w:style w:type="paragraph" w:styleId="19">
    <w:name w:val="toc 3"/>
    <w:basedOn w:val="1"/>
    <w:next w:val="1"/>
    <w:autoRedefine/>
    <w:unhideWhenUsed/>
    <w:qFormat/>
    <w:uiPriority w:val="39"/>
    <w:pPr>
      <w:ind w:left="480"/>
    </w:pPr>
    <w:rPr>
      <w:rFonts w:asciiTheme="minorHAnsi" w:hAnsiTheme="minorHAnsi" w:cstheme="minorHAnsi"/>
      <w:i/>
      <w:iCs/>
      <w:sz w:val="20"/>
      <w:szCs w:val="20"/>
    </w:rPr>
  </w:style>
  <w:style w:type="paragraph" w:styleId="20">
    <w:name w:val="toc 8"/>
    <w:basedOn w:val="1"/>
    <w:next w:val="1"/>
    <w:autoRedefine/>
    <w:unhideWhenUsed/>
    <w:qFormat/>
    <w:uiPriority w:val="39"/>
    <w:pPr>
      <w:ind w:left="1680"/>
    </w:pPr>
    <w:rPr>
      <w:rFonts w:asciiTheme="minorHAnsi" w:hAnsiTheme="minorHAnsi" w:cstheme="minorHAnsi"/>
      <w:sz w:val="18"/>
      <w:szCs w:val="18"/>
    </w:rPr>
  </w:style>
  <w:style w:type="paragraph" w:styleId="21">
    <w:name w:val="Date"/>
    <w:basedOn w:val="1"/>
    <w:next w:val="1"/>
    <w:link w:val="92"/>
    <w:semiHidden/>
    <w:unhideWhenUsed/>
    <w:qFormat/>
    <w:uiPriority w:val="99"/>
    <w:pPr>
      <w:ind w:left="100" w:leftChars="2500"/>
    </w:pPr>
  </w:style>
  <w:style w:type="paragraph" w:styleId="22">
    <w:name w:val="endnote text"/>
    <w:basedOn w:val="1"/>
    <w:link w:val="71"/>
    <w:semiHidden/>
    <w:unhideWhenUsed/>
    <w:qFormat/>
    <w:uiPriority w:val="99"/>
    <w:pPr>
      <w:snapToGrid w:val="0"/>
    </w:pPr>
  </w:style>
  <w:style w:type="paragraph" w:styleId="23">
    <w:name w:val="Balloon Text"/>
    <w:basedOn w:val="1"/>
    <w:link w:val="53"/>
    <w:semiHidden/>
    <w:unhideWhenUsed/>
    <w:qFormat/>
    <w:uiPriority w:val="99"/>
    <w:rPr>
      <w:sz w:val="18"/>
      <w:szCs w:val="18"/>
    </w:rPr>
  </w:style>
  <w:style w:type="paragraph" w:styleId="24">
    <w:name w:val="footer"/>
    <w:basedOn w:val="1"/>
    <w:link w:val="62"/>
    <w:unhideWhenUsed/>
    <w:uiPriority w:val="99"/>
    <w:pPr>
      <w:tabs>
        <w:tab w:val="center" w:pos="4153"/>
        <w:tab w:val="right" w:pos="8306"/>
      </w:tabs>
      <w:snapToGrid w:val="0"/>
    </w:pPr>
    <w:rPr>
      <w:sz w:val="18"/>
      <w:szCs w:val="18"/>
    </w:rPr>
  </w:style>
  <w:style w:type="paragraph" w:styleId="25">
    <w:name w:val="header"/>
    <w:basedOn w:val="1"/>
    <w:link w:val="61"/>
    <w:unhideWhenUsed/>
    <w:qFormat/>
    <w:uiPriority w:val="99"/>
    <w:pPr>
      <w:pBdr>
        <w:bottom w:val="single" w:color="auto" w:sz="6" w:space="1"/>
      </w:pBdr>
      <w:tabs>
        <w:tab w:val="center" w:pos="4153"/>
        <w:tab w:val="right" w:pos="8306"/>
      </w:tabs>
      <w:snapToGrid w:val="0"/>
      <w:jc w:val="center"/>
    </w:pPr>
    <w:rPr>
      <w:sz w:val="18"/>
      <w:szCs w:val="18"/>
    </w:rPr>
  </w:style>
  <w:style w:type="paragraph" w:styleId="26">
    <w:name w:val="toc 1"/>
    <w:basedOn w:val="1"/>
    <w:next w:val="1"/>
    <w:autoRedefine/>
    <w:unhideWhenUsed/>
    <w:qFormat/>
    <w:uiPriority w:val="39"/>
    <w:pPr>
      <w:tabs>
        <w:tab w:val="right" w:leader="dot" w:pos="9344"/>
      </w:tabs>
      <w:spacing w:before="120" w:after="120"/>
    </w:pPr>
    <w:rPr>
      <w:rFonts w:ascii="宋体" w:hAnsi="宋体" w:cstheme="minorHAnsi"/>
      <w:caps/>
      <w:kern w:val="0"/>
      <w:szCs w:val="21"/>
    </w:rPr>
  </w:style>
  <w:style w:type="paragraph" w:styleId="27">
    <w:name w:val="toc 4"/>
    <w:basedOn w:val="1"/>
    <w:next w:val="1"/>
    <w:autoRedefine/>
    <w:unhideWhenUsed/>
    <w:qFormat/>
    <w:uiPriority w:val="39"/>
    <w:pPr>
      <w:ind w:left="720"/>
    </w:pPr>
    <w:rPr>
      <w:rFonts w:asciiTheme="minorHAnsi" w:hAnsiTheme="minorHAnsi" w:cstheme="minorHAnsi"/>
      <w:sz w:val="18"/>
      <w:szCs w:val="18"/>
    </w:rPr>
  </w:style>
  <w:style w:type="paragraph" w:styleId="28">
    <w:name w:val="toc 6"/>
    <w:basedOn w:val="1"/>
    <w:next w:val="1"/>
    <w:autoRedefine/>
    <w:unhideWhenUsed/>
    <w:uiPriority w:val="39"/>
    <w:pPr>
      <w:ind w:left="1200"/>
    </w:pPr>
    <w:rPr>
      <w:rFonts w:asciiTheme="minorHAnsi" w:hAnsiTheme="minorHAnsi" w:cstheme="minorHAnsi"/>
      <w:sz w:val="18"/>
      <w:szCs w:val="18"/>
    </w:rPr>
  </w:style>
  <w:style w:type="paragraph" w:styleId="29">
    <w:name w:val="toc 2"/>
    <w:basedOn w:val="1"/>
    <w:next w:val="1"/>
    <w:autoRedefine/>
    <w:unhideWhenUsed/>
    <w:qFormat/>
    <w:uiPriority w:val="39"/>
    <w:pPr>
      <w:ind w:left="240"/>
    </w:pPr>
    <w:rPr>
      <w:rFonts w:asciiTheme="minorHAnsi" w:hAnsiTheme="minorHAnsi" w:cstheme="minorHAnsi"/>
      <w:smallCaps/>
      <w:sz w:val="20"/>
      <w:szCs w:val="20"/>
    </w:rPr>
  </w:style>
  <w:style w:type="paragraph" w:styleId="30">
    <w:name w:val="toc 9"/>
    <w:basedOn w:val="1"/>
    <w:next w:val="1"/>
    <w:autoRedefine/>
    <w:unhideWhenUsed/>
    <w:qFormat/>
    <w:uiPriority w:val="39"/>
    <w:pPr>
      <w:ind w:left="1920"/>
    </w:pPr>
    <w:rPr>
      <w:rFonts w:asciiTheme="minorHAnsi" w:hAnsiTheme="minorHAnsi" w:cstheme="minorHAnsi"/>
      <w:sz w:val="18"/>
      <w:szCs w:val="18"/>
    </w:rPr>
  </w:style>
  <w:style w:type="paragraph" w:styleId="31">
    <w:name w:val="Normal (Web)"/>
    <w:basedOn w:val="1"/>
    <w:semiHidden/>
    <w:unhideWhenUsed/>
    <w:qFormat/>
    <w:uiPriority w:val="99"/>
    <w:pPr>
      <w:spacing w:before="100" w:beforeAutospacing="1" w:after="100" w:afterAutospacing="1"/>
    </w:pPr>
    <w:rPr>
      <w:rFonts w:ascii="宋体" w:hAnsi="宋体" w:cs="宋体"/>
      <w:kern w:val="0"/>
    </w:rPr>
  </w:style>
  <w:style w:type="paragraph" w:styleId="32">
    <w:name w:val="Title"/>
    <w:basedOn w:val="1"/>
    <w:next w:val="1"/>
    <w:link w:val="63"/>
    <w:qFormat/>
    <w:uiPriority w:val="10"/>
    <w:pPr>
      <w:spacing w:before="240" w:after="60"/>
      <w:jc w:val="center"/>
      <w:outlineLvl w:val="0"/>
    </w:pPr>
    <w:rPr>
      <w:rFonts w:asciiTheme="majorHAnsi" w:hAnsiTheme="majorHAnsi" w:cstheme="majorBidi"/>
      <w:b/>
      <w:bCs/>
      <w:sz w:val="32"/>
      <w:szCs w:val="32"/>
    </w:rPr>
  </w:style>
  <w:style w:type="paragraph" w:styleId="33">
    <w:name w:val="annotation subject"/>
    <w:basedOn w:val="15"/>
    <w:next w:val="15"/>
    <w:link w:val="107"/>
    <w:semiHidden/>
    <w:unhideWhenUsed/>
    <w:qFormat/>
    <w:uiPriority w:val="99"/>
    <w:rPr>
      <w:rFonts w:ascii="Times New Roman" w:hAnsi="Times New Roman" w:eastAsia="宋体"/>
      <w:b/>
      <w:bCs/>
    </w:rPr>
  </w:style>
  <w:style w:type="paragraph" w:styleId="34">
    <w:name w:val="Body Text First Indent"/>
    <w:basedOn w:val="1"/>
    <w:link w:val="55"/>
    <w:qFormat/>
    <w:uiPriority w:val="0"/>
    <w:pPr>
      <w:ind w:firstLine="498"/>
    </w:pPr>
    <w:rPr>
      <w:szCs w:val="20"/>
    </w:rPr>
  </w:style>
  <w:style w:type="table" w:styleId="36">
    <w:name w:val="Table Grid"/>
    <w:basedOn w:val="35"/>
    <w:qFormat/>
    <w:uiPriority w:val="59"/>
    <w:rPr>
      <w:rFonts w:ascii="Times New Roman" w:hAnsi="Times New Roman" w:eastAsia="宋体" w:cs="Times New Roman"/>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7">
    <w:name w:val="Table Simple 1"/>
    <w:basedOn w:val="35"/>
    <w:qFormat/>
    <w:uiPriority w:val="0"/>
    <w:rPr>
      <w:rFonts w:ascii="Times New Roman" w:hAnsi="Times New Roman" w:eastAsia="宋体" w:cs="Times New Roman"/>
      <w:lang w:val="en-GB" w:eastAsia="en-GB"/>
    </w:r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character" w:styleId="39">
    <w:name w:val="endnote reference"/>
    <w:basedOn w:val="38"/>
    <w:semiHidden/>
    <w:unhideWhenUsed/>
    <w:qFormat/>
    <w:uiPriority w:val="99"/>
    <w:rPr>
      <w:vertAlign w:val="superscript"/>
    </w:rPr>
  </w:style>
  <w:style w:type="character" w:styleId="40">
    <w:name w:val="page number"/>
    <w:basedOn w:val="38"/>
    <w:uiPriority w:val="0"/>
  </w:style>
  <w:style w:type="character" w:styleId="41">
    <w:name w:val="FollowedHyperlink"/>
    <w:basedOn w:val="38"/>
    <w:semiHidden/>
    <w:unhideWhenUsed/>
    <w:uiPriority w:val="99"/>
    <w:rPr>
      <w:color w:val="954F72"/>
      <w:u w:val="single"/>
    </w:rPr>
  </w:style>
  <w:style w:type="character" w:styleId="42">
    <w:name w:val="Hyperlink"/>
    <w:basedOn w:val="38"/>
    <w:unhideWhenUsed/>
    <w:uiPriority w:val="99"/>
    <w:rPr>
      <w:color w:val="0000FF" w:themeColor="hyperlink"/>
      <w:u w:val="single"/>
    </w:rPr>
  </w:style>
  <w:style w:type="character" w:styleId="43">
    <w:name w:val="annotation reference"/>
    <w:basedOn w:val="38"/>
    <w:semiHidden/>
    <w:unhideWhenUsed/>
    <w:uiPriority w:val="99"/>
    <w:rPr>
      <w:sz w:val="21"/>
      <w:szCs w:val="21"/>
    </w:rPr>
  </w:style>
  <w:style w:type="character" w:customStyle="1" w:styleId="44">
    <w:name w:val="标题 1 Char"/>
    <w:basedOn w:val="38"/>
    <w:link w:val="2"/>
    <w:qFormat/>
    <w:uiPriority w:val="0"/>
    <w:rPr>
      <w:rFonts w:ascii="Times New Roman" w:hAnsi="Times New Roman" w:eastAsia="黑体" w:cs="Times New Roman"/>
      <w:b/>
      <w:bCs/>
      <w:kern w:val="44"/>
      <w:sz w:val="32"/>
      <w:szCs w:val="44"/>
    </w:rPr>
  </w:style>
  <w:style w:type="character" w:customStyle="1" w:styleId="45">
    <w:name w:val="标题 2 Char"/>
    <w:basedOn w:val="38"/>
    <w:link w:val="3"/>
    <w:qFormat/>
    <w:uiPriority w:val="0"/>
    <w:rPr>
      <w:rFonts w:ascii="Times New Roman" w:hAnsi="Times New Roman" w:eastAsia="黑体" w:cs="Times New Roman"/>
      <w:b/>
      <w:bCs/>
      <w:sz w:val="30"/>
      <w:szCs w:val="32"/>
    </w:rPr>
  </w:style>
  <w:style w:type="character" w:customStyle="1" w:styleId="46">
    <w:name w:val="标题 3 Char"/>
    <w:basedOn w:val="38"/>
    <w:link w:val="4"/>
    <w:uiPriority w:val="9"/>
    <w:rPr>
      <w:rFonts w:ascii="Times New Roman" w:hAnsi="Times New Roman" w:eastAsia="黑体" w:cs="Times New Roman"/>
      <w:b/>
      <w:bCs/>
      <w:sz w:val="28"/>
      <w:szCs w:val="32"/>
    </w:rPr>
  </w:style>
  <w:style w:type="character" w:customStyle="1" w:styleId="47">
    <w:name w:val="标题 4 Char"/>
    <w:basedOn w:val="38"/>
    <w:link w:val="5"/>
    <w:uiPriority w:val="9"/>
    <w:rPr>
      <w:rFonts w:ascii="Times New Roman" w:hAnsi="Times New Roman" w:eastAsia="宋体" w:cs="Times New Roman"/>
      <w:b/>
      <w:bCs/>
      <w:sz w:val="24"/>
      <w:szCs w:val="28"/>
    </w:rPr>
  </w:style>
  <w:style w:type="character" w:customStyle="1" w:styleId="48">
    <w:name w:val="标题 5 Char"/>
    <w:basedOn w:val="38"/>
    <w:link w:val="6"/>
    <w:semiHidden/>
    <w:qFormat/>
    <w:uiPriority w:val="9"/>
    <w:rPr>
      <w:rFonts w:ascii="Times New Roman" w:hAnsi="Times New Roman" w:eastAsia="宋体" w:cs="Times New Roman"/>
      <w:b/>
      <w:bCs/>
      <w:sz w:val="24"/>
      <w:szCs w:val="28"/>
    </w:rPr>
  </w:style>
  <w:style w:type="character" w:customStyle="1" w:styleId="49">
    <w:name w:val="标题 6 Char"/>
    <w:basedOn w:val="38"/>
    <w:link w:val="7"/>
    <w:semiHidden/>
    <w:qFormat/>
    <w:uiPriority w:val="9"/>
    <w:rPr>
      <w:rFonts w:asciiTheme="majorHAnsi" w:hAnsiTheme="majorHAnsi" w:eastAsiaTheme="majorEastAsia" w:cstheme="majorBidi"/>
      <w:b/>
      <w:bCs/>
      <w:sz w:val="24"/>
      <w:szCs w:val="24"/>
    </w:rPr>
  </w:style>
  <w:style w:type="character" w:customStyle="1" w:styleId="50">
    <w:name w:val="标题 7 Char"/>
    <w:basedOn w:val="38"/>
    <w:link w:val="8"/>
    <w:semiHidden/>
    <w:qFormat/>
    <w:uiPriority w:val="9"/>
    <w:rPr>
      <w:rFonts w:ascii="Times New Roman" w:hAnsi="Times New Roman" w:eastAsia="宋体" w:cs="Times New Roman"/>
      <w:b/>
      <w:bCs/>
      <w:sz w:val="24"/>
      <w:szCs w:val="24"/>
    </w:rPr>
  </w:style>
  <w:style w:type="character" w:customStyle="1" w:styleId="51">
    <w:name w:val="标题 8 Char"/>
    <w:basedOn w:val="38"/>
    <w:link w:val="9"/>
    <w:semiHidden/>
    <w:uiPriority w:val="9"/>
    <w:rPr>
      <w:rFonts w:asciiTheme="majorHAnsi" w:hAnsiTheme="majorHAnsi" w:eastAsiaTheme="majorEastAsia" w:cstheme="majorBidi"/>
      <w:sz w:val="24"/>
      <w:szCs w:val="24"/>
    </w:rPr>
  </w:style>
  <w:style w:type="character" w:customStyle="1" w:styleId="52">
    <w:name w:val="标题 9 Char"/>
    <w:basedOn w:val="38"/>
    <w:link w:val="10"/>
    <w:semiHidden/>
    <w:qFormat/>
    <w:uiPriority w:val="9"/>
    <w:rPr>
      <w:rFonts w:asciiTheme="majorHAnsi" w:hAnsiTheme="majorHAnsi" w:eastAsiaTheme="majorEastAsia" w:cstheme="majorBidi"/>
      <w:sz w:val="24"/>
      <w:szCs w:val="21"/>
    </w:rPr>
  </w:style>
  <w:style w:type="character" w:customStyle="1" w:styleId="53">
    <w:name w:val="批注框文本 Char"/>
    <w:basedOn w:val="38"/>
    <w:link w:val="23"/>
    <w:semiHidden/>
    <w:uiPriority w:val="99"/>
    <w:rPr>
      <w:rFonts w:ascii="Times New Roman" w:hAnsi="Times New Roman" w:eastAsia="宋体"/>
      <w:sz w:val="18"/>
      <w:szCs w:val="18"/>
    </w:rPr>
  </w:style>
  <w:style w:type="character" w:customStyle="1" w:styleId="54">
    <w:name w:val="正文文本 Char"/>
    <w:basedOn w:val="38"/>
    <w:link w:val="16"/>
    <w:semiHidden/>
    <w:qFormat/>
    <w:uiPriority w:val="99"/>
    <w:rPr>
      <w:rFonts w:ascii="Times New Roman" w:hAnsi="Times New Roman" w:eastAsia="宋体"/>
      <w:sz w:val="24"/>
    </w:rPr>
  </w:style>
  <w:style w:type="character" w:customStyle="1" w:styleId="55">
    <w:name w:val="正文首行缩进 Char"/>
    <w:basedOn w:val="54"/>
    <w:link w:val="34"/>
    <w:qFormat/>
    <w:uiPriority w:val="0"/>
    <w:rPr>
      <w:rFonts w:ascii="Times New Roman" w:hAnsi="Times New Roman" w:eastAsia="宋体" w:cs="Times New Roman"/>
      <w:sz w:val="24"/>
      <w:szCs w:val="20"/>
    </w:rPr>
  </w:style>
  <w:style w:type="paragraph" w:styleId="56">
    <w:name w:val="List Paragraph"/>
    <w:basedOn w:val="1"/>
    <w:qFormat/>
    <w:uiPriority w:val="34"/>
    <w:pPr>
      <w:ind w:firstLine="420"/>
    </w:pPr>
  </w:style>
  <w:style w:type="paragraph" w:customStyle="1" w:styleId="57">
    <w:name w:val="公式"/>
    <w:link w:val="58"/>
    <w:qFormat/>
    <w:uiPriority w:val="0"/>
    <w:pPr>
      <w:tabs>
        <w:tab w:val="center" w:pos="4536"/>
        <w:tab w:val="right" w:pos="9072"/>
      </w:tabs>
      <w:spacing w:line="312" w:lineRule="auto"/>
    </w:pPr>
    <w:rPr>
      <w:rFonts w:ascii="Times New Roman" w:hAnsi="Times New Roman" w:eastAsia="宋体" w:cs="Times New Roman"/>
      <w:kern w:val="2"/>
      <w:sz w:val="24"/>
      <w:lang w:val="en-US" w:eastAsia="zh-CN" w:bidi="ar-SA"/>
    </w:rPr>
  </w:style>
  <w:style w:type="character" w:customStyle="1" w:styleId="58">
    <w:name w:val="公式 Char"/>
    <w:basedOn w:val="38"/>
    <w:link w:val="57"/>
    <w:qFormat/>
    <w:uiPriority w:val="0"/>
    <w:rPr>
      <w:rFonts w:ascii="Times New Roman" w:hAnsi="Times New Roman" w:eastAsia="宋体" w:cs="Times New Roman"/>
      <w:sz w:val="24"/>
      <w:szCs w:val="20"/>
    </w:rPr>
  </w:style>
  <w:style w:type="paragraph" w:styleId="59">
    <w:name w:val="No Spacing"/>
    <w:qFormat/>
    <w:uiPriority w:val="1"/>
    <w:pPr>
      <w:widowControl w:val="0"/>
      <w:jc w:val="both"/>
    </w:pPr>
    <w:rPr>
      <w:rFonts w:ascii="Times New Roman" w:hAnsi="Times New Roman" w:eastAsia="宋体" w:cstheme="minorBidi"/>
      <w:kern w:val="2"/>
      <w:sz w:val="24"/>
      <w:szCs w:val="22"/>
      <w:lang w:val="en-US" w:eastAsia="zh-CN" w:bidi="ar-SA"/>
    </w:rPr>
  </w:style>
  <w:style w:type="paragraph" w:customStyle="1" w:styleId="60">
    <w:name w:val="正文内容"/>
    <w:basedOn w:val="1"/>
    <w:qFormat/>
    <w:uiPriority w:val="0"/>
  </w:style>
  <w:style w:type="character" w:customStyle="1" w:styleId="61">
    <w:name w:val="页眉 Char"/>
    <w:basedOn w:val="38"/>
    <w:link w:val="25"/>
    <w:qFormat/>
    <w:uiPriority w:val="99"/>
    <w:rPr>
      <w:rFonts w:ascii="Times New Roman" w:hAnsi="Times New Roman" w:eastAsia="宋体"/>
      <w:sz w:val="18"/>
      <w:szCs w:val="18"/>
    </w:rPr>
  </w:style>
  <w:style w:type="character" w:customStyle="1" w:styleId="62">
    <w:name w:val="页脚 Char"/>
    <w:basedOn w:val="38"/>
    <w:link w:val="24"/>
    <w:qFormat/>
    <w:uiPriority w:val="99"/>
    <w:rPr>
      <w:rFonts w:ascii="Times New Roman" w:hAnsi="Times New Roman" w:eastAsia="宋体"/>
      <w:sz w:val="18"/>
      <w:szCs w:val="18"/>
    </w:rPr>
  </w:style>
  <w:style w:type="character" w:customStyle="1" w:styleId="63">
    <w:name w:val="标题 Char"/>
    <w:basedOn w:val="38"/>
    <w:link w:val="32"/>
    <w:uiPriority w:val="10"/>
    <w:rPr>
      <w:rFonts w:eastAsia="宋体" w:asciiTheme="majorHAnsi" w:hAnsiTheme="majorHAnsi" w:cstheme="majorBidi"/>
      <w:b/>
      <w:bCs/>
      <w:sz w:val="32"/>
      <w:szCs w:val="32"/>
    </w:rPr>
  </w:style>
  <w:style w:type="table" w:customStyle="1" w:styleId="64">
    <w:name w:val="网格型1"/>
    <w:basedOn w:val="35"/>
    <w:qFormat/>
    <w:uiPriority w:val="0"/>
    <w:rPr>
      <w:rFonts w:ascii="Times New Roman" w:hAnsi="Times New Roman" w:eastAsia="宋体" w:cs="Times New Roman"/>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5">
    <w:name w:val="网格型2"/>
    <w:basedOn w:val="35"/>
    <w:uiPriority w:val="0"/>
    <w:rPr>
      <w:rFonts w:ascii="Times New Roman" w:hAnsi="Times New Roman" w:eastAsia="宋体" w:cs="Times New Roman"/>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6">
    <w:name w:val="网格型3"/>
    <w:basedOn w:val="35"/>
    <w:uiPriority w:val="0"/>
    <w:rPr>
      <w:rFonts w:ascii="Times New Roman" w:hAnsi="Times New Roman" w:eastAsia="宋体" w:cs="Times New Roman"/>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7">
    <w:name w:val="网格型4"/>
    <w:basedOn w:val="35"/>
    <w:qFormat/>
    <w:uiPriority w:val="0"/>
    <w:rPr>
      <w:rFonts w:ascii="Times New Roman" w:hAnsi="Times New Roman" w:eastAsia="宋体" w:cs="Times New Roman"/>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8">
    <w:name w:val="Table Heading"/>
    <w:basedOn w:val="1"/>
    <w:next w:val="1"/>
    <w:qFormat/>
    <w:locked/>
    <w:uiPriority w:val="99"/>
    <w:rPr>
      <w:kern w:val="0"/>
      <w:sz w:val="20"/>
      <w:lang w:val="en-GB"/>
    </w:rPr>
  </w:style>
  <w:style w:type="table" w:customStyle="1" w:styleId="69">
    <w:name w:val="简明型 11"/>
    <w:basedOn w:val="35"/>
    <w:uiPriority w:val="0"/>
    <w:rPr>
      <w:rFonts w:ascii="Times New Roman" w:hAnsi="Times New Roman" w:eastAsia="宋体" w:cs="Times New Roman"/>
      <w:lang w:val="en-GB" w:eastAsia="en-GB"/>
    </w:r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70">
    <w:name w:val="简明型 12"/>
    <w:basedOn w:val="35"/>
    <w:qFormat/>
    <w:uiPriority w:val="0"/>
    <w:rPr>
      <w:rFonts w:ascii="Times New Roman" w:hAnsi="Times New Roman" w:eastAsia="宋体" w:cs="Times New Roman"/>
      <w:lang w:val="en-GB" w:eastAsia="en-GB"/>
    </w:r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character" w:customStyle="1" w:styleId="71">
    <w:name w:val="尾注文本 Char"/>
    <w:basedOn w:val="38"/>
    <w:link w:val="22"/>
    <w:semiHidden/>
    <w:qFormat/>
    <w:uiPriority w:val="99"/>
    <w:rPr>
      <w:rFonts w:ascii="Times New Roman" w:hAnsi="Times New Roman" w:eastAsia="宋体"/>
      <w:sz w:val="24"/>
    </w:rPr>
  </w:style>
  <w:style w:type="character" w:styleId="72">
    <w:name w:val="Placeholder Text"/>
    <w:basedOn w:val="38"/>
    <w:semiHidden/>
    <w:qFormat/>
    <w:uiPriority w:val="99"/>
    <w:rPr>
      <w:color w:val="808080"/>
    </w:rPr>
  </w:style>
  <w:style w:type="table" w:customStyle="1" w:styleId="73">
    <w:name w:val="简明型 13"/>
    <w:basedOn w:val="35"/>
    <w:uiPriority w:val="0"/>
    <w:rPr>
      <w:rFonts w:ascii="Times New Roman" w:hAnsi="Times New Roman" w:eastAsia="宋体" w:cs="Times New Roman"/>
      <w:lang w:val="en-GB" w:eastAsia="en-GB"/>
    </w:r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74">
    <w:name w:val="简明型 14"/>
    <w:basedOn w:val="35"/>
    <w:qFormat/>
    <w:uiPriority w:val="0"/>
    <w:rPr>
      <w:rFonts w:ascii="Times New Roman" w:hAnsi="Times New Roman" w:eastAsia="宋体" w:cs="Times New Roman"/>
      <w:lang w:val="en-GB" w:eastAsia="en-GB"/>
    </w:r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character" w:customStyle="1" w:styleId="75">
    <w:name w:val="MTEquationSection"/>
    <w:basedOn w:val="38"/>
    <w:uiPriority w:val="0"/>
    <w:rPr>
      <w:b/>
      <w:vanish/>
      <w:color w:val="FF0000"/>
      <w:sz w:val="36"/>
    </w:rPr>
  </w:style>
  <w:style w:type="paragraph" w:customStyle="1" w:styleId="76">
    <w:name w:val="MTDisplayEquation"/>
    <w:basedOn w:val="1"/>
    <w:next w:val="1"/>
    <w:link w:val="77"/>
    <w:uiPriority w:val="0"/>
    <w:pPr>
      <w:tabs>
        <w:tab w:val="center" w:pos="4540"/>
        <w:tab w:val="right" w:pos="9080"/>
      </w:tabs>
      <w:ind w:firstLine="567"/>
    </w:pPr>
    <w:rPr>
      <w:szCs w:val="20"/>
    </w:rPr>
  </w:style>
  <w:style w:type="character" w:customStyle="1" w:styleId="77">
    <w:name w:val="MTDisplayEquation Char"/>
    <w:basedOn w:val="38"/>
    <w:link w:val="76"/>
    <w:qFormat/>
    <w:uiPriority w:val="0"/>
    <w:rPr>
      <w:rFonts w:ascii="Times New Roman" w:hAnsi="Times New Roman" w:eastAsia="宋体" w:cs="Times New Roman"/>
      <w:sz w:val="24"/>
      <w:szCs w:val="20"/>
    </w:rPr>
  </w:style>
  <w:style w:type="character" w:customStyle="1" w:styleId="78">
    <w:name w:val="正文文本缩进 Char"/>
    <w:basedOn w:val="38"/>
    <w:link w:val="17"/>
    <w:semiHidden/>
    <w:uiPriority w:val="99"/>
    <w:rPr>
      <w:rFonts w:ascii="Times New Roman" w:hAnsi="Times New Roman" w:eastAsia="宋体"/>
      <w:sz w:val="24"/>
    </w:rPr>
  </w:style>
  <w:style w:type="paragraph" w:customStyle="1" w:styleId="79">
    <w:name w:val="TOC 标题1"/>
    <w:basedOn w:val="2"/>
    <w:next w:val="1"/>
    <w:semiHidden/>
    <w:unhideWhenUsed/>
    <w:qFormat/>
    <w:uiPriority w:val="39"/>
    <w:pPr>
      <w:numPr>
        <w:numId w:val="0"/>
      </w:numPr>
      <w:spacing w:after="0" w:line="259" w:lineRule="auto"/>
      <w:outlineLvl w:val="9"/>
    </w:pPr>
    <w:rPr>
      <w:rFonts w:asciiTheme="majorHAnsi" w:hAnsiTheme="majorHAnsi" w:eastAsiaTheme="majorEastAsia" w:cstheme="majorBidi"/>
      <w:b w:val="0"/>
      <w:bCs w:val="0"/>
      <w:color w:val="366091" w:themeColor="accent1" w:themeShade="BF"/>
      <w:kern w:val="0"/>
      <w:szCs w:val="32"/>
    </w:rPr>
  </w:style>
  <w:style w:type="paragraph" w:customStyle="1" w:styleId="80">
    <w:name w:val="msonormal"/>
    <w:basedOn w:val="1"/>
    <w:qFormat/>
    <w:uiPriority w:val="0"/>
    <w:pPr>
      <w:spacing w:before="100" w:beforeAutospacing="1" w:after="100" w:afterAutospacing="1"/>
    </w:pPr>
    <w:rPr>
      <w:rFonts w:ascii="宋体" w:hAnsi="宋体" w:cs="宋体"/>
      <w:kern w:val="0"/>
    </w:rPr>
  </w:style>
  <w:style w:type="paragraph" w:customStyle="1" w:styleId="81">
    <w:name w:val="font5"/>
    <w:basedOn w:val="1"/>
    <w:qFormat/>
    <w:uiPriority w:val="0"/>
    <w:pPr>
      <w:spacing w:before="100" w:beforeAutospacing="1" w:after="100" w:afterAutospacing="1"/>
    </w:pPr>
    <w:rPr>
      <w:rFonts w:ascii="等线" w:hAnsi="等线" w:eastAsia="等线" w:cs="宋体"/>
      <w:kern w:val="0"/>
      <w:sz w:val="18"/>
      <w:szCs w:val="18"/>
    </w:rPr>
  </w:style>
  <w:style w:type="paragraph" w:customStyle="1" w:styleId="82">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rPr>
  </w:style>
  <w:style w:type="paragraph" w:customStyle="1" w:styleId="83">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rPr>
  </w:style>
  <w:style w:type="paragraph" w:customStyle="1" w:styleId="84">
    <w:name w:val="xl6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rPr>
  </w:style>
  <w:style w:type="paragraph" w:customStyle="1" w:styleId="85">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rPr>
  </w:style>
  <w:style w:type="paragraph" w:customStyle="1" w:styleId="86">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rPr>
  </w:style>
  <w:style w:type="table" w:customStyle="1" w:styleId="87">
    <w:name w:val="网格型5"/>
    <w:basedOn w:val="35"/>
    <w:qFormat/>
    <w:uiPriority w:val="39"/>
    <w:rPr>
      <w:rFonts w:ascii="Times New Roman" w:hAnsi="Times New Roman" w:eastAsia="宋体" w:cs="Times New Roman"/>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8">
    <w:name w:val="网格型6"/>
    <w:basedOn w:val="35"/>
    <w:uiPriority w:val="39"/>
    <w:rPr>
      <w:rFonts w:ascii="Times New Roman" w:hAnsi="Times New Roman" w:eastAsia="宋体" w:cs="Times New Roman"/>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9">
    <w:name w:val="网格型7"/>
    <w:basedOn w:val="3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0">
    <w:name w:val="visio格式"/>
    <w:basedOn w:val="12"/>
    <w:qFormat/>
    <w:uiPriority w:val="0"/>
    <w:pPr>
      <w:ind w:firstLine="0"/>
      <w:jc w:val="center"/>
    </w:pPr>
    <w:rPr>
      <w:szCs w:val="20"/>
    </w:rPr>
  </w:style>
  <w:style w:type="table" w:customStyle="1" w:styleId="91">
    <w:name w:val="网格型8"/>
    <w:basedOn w:val="3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2">
    <w:name w:val="日期 Char"/>
    <w:basedOn w:val="38"/>
    <w:link w:val="21"/>
    <w:semiHidden/>
    <w:qFormat/>
    <w:uiPriority w:val="99"/>
    <w:rPr>
      <w:rFonts w:ascii="Times New Roman" w:hAnsi="Times New Roman" w:eastAsia="宋体"/>
      <w:sz w:val="24"/>
    </w:rPr>
  </w:style>
  <w:style w:type="character" w:customStyle="1" w:styleId="93">
    <w:name w:val="批注文字 Char"/>
    <w:basedOn w:val="38"/>
    <w:link w:val="15"/>
    <w:qFormat/>
    <w:uiPriority w:val="99"/>
  </w:style>
  <w:style w:type="character" w:customStyle="1" w:styleId="94">
    <w:name w:val="未处理的提及1"/>
    <w:basedOn w:val="38"/>
    <w:semiHidden/>
    <w:unhideWhenUsed/>
    <w:qFormat/>
    <w:uiPriority w:val="99"/>
    <w:rPr>
      <w:color w:val="605E5C"/>
      <w:shd w:val="clear" w:color="auto" w:fill="E1DFDD"/>
    </w:rPr>
  </w:style>
  <w:style w:type="character" w:customStyle="1" w:styleId="95">
    <w:name w:val="段 Char"/>
    <w:link w:val="96"/>
    <w:qFormat/>
    <w:uiPriority w:val="0"/>
    <w:rPr>
      <w:rFonts w:ascii="宋体" w:hAnsi="宋体"/>
      <w:szCs w:val="21"/>
    </w:rPr>
  </w:style>
  <w:style w:type="paragraph" w:customStyle="1" w:styleId="96">
    <w:name w:val="段"/>
    <w:link w:val="95"/>
    <w:qFormat/>
    <w:uiPriority w:val="0"/>
    <w:pPr>
      <w:tabs>
        <w:tab w:val="center" w:pos="4201"/>
        <w:tab w:val="right" w:leader="dot" w:pos="9298"/>
      </w:tabs>
      <w:autoSpaceDE w:val="0"/>
      <w:autoSpaceDN w:val="0"/>
      <w:ind w:firstLine="420" w:firstLineChars="200"/>
      <w:jc w:val="both"/>
    </w:pPr>
    <w:rPr>
      <w:rFonts w:ascii="宋体" w:hAnsi="宋体" w:eastAsiaTheme="minorEastAsia" w:cstheme="minorBidi"/>
      <w:kern w:val="2"/>
      <w:sz w:val="21"/>
      <w:szCs w:val="21"/>
      <w:lang w:val="en-US" w:eastAsia="zh-CN" w:bidi="ar-SA"/>
    </w:rPr>
  </w:style>
  <w:style w:type="character" w:customStyle="1" w:styleId="97">
    <w:name w:val="一级条标题 Char"/>
    <w:link w:val="98"/>
    <w:qFormat/>
    <w:uiPriority w:val="0"/>
    <w:rPr>
      <w:rFonts w:ascii="黑体" w:eastAsia="黑体"/>
      <w:szCs w:val="21"/>
    </w:rPr>
  </w:style>
  <w:style w:type="paragraph" w:customStyle="1" w:styleId="98">
    <w:name w:val="一级条标题"/>
    <w:next w:val="96"/>
    <w:link w:val="97"/>
    <w:qFormat/>
    <w:uiPriority w:val="0"/>
    <w:pPr>
      <w:numPr>
        <w:ilvl w:val="1"/>
        <w:numId w:val="2"/>
      </w:numPr>
      <w:spacing w:beforeLines="50" w:afterLines="50"/>
      <w:outlineLvl w:val="2"/>
    </w:pPr>
    <w:rPr>
      <w:rFonts w:ascii="黑体" w:eastAsia="黑体" w:hAnsiTheme="minorHAnsi" w:cstheme="minorBidi"/>
      <w:kern w:val="2"/>
      <w:sz w:val="21"/>
      <w:szCs w:val="21"/>
      <w:lang w:val="en-US" w:eastAsia="zh-CN" w:bidi="ar-SA"/>
    </w:rPr>
  </w:style>
  <w:style w:type="paragraph" w:customStyle="1" w:styleId="99">
    <w:name w:val="目次、标准名称标题"/>
    <w:basedOn w:val="1"/>
    <w:next w:val="96"/>
    <w:qFormat/>
    <w:uiPriority w:val="0"/>
    <w:pPr>
      <w:keepNext/>
      <w:pageBreakBefore/>
      <w:shd w:val="clear" w:color="FFFFFF" w:fill="FFFFFF"/>
      <w:spacing w:before="640" w:after="560" w:line="460" w:lineRule="exact"/>
      <w:jc w:val="center"/>
      <w:outlineLvl w:val="0"/>
    </w:pPr>
    <w:rPr>
      <w:rFonts w:ascii="黑体" w:eastAsia="黑体"/>
      <w:kern w:val="0"/>
      <w:sz w:val="32"/>
      <w:szCs w:val="20"/>
    </w:rPr>
  </w:style>
  <w:style w:type="paragraph" w:customStyle="1" w:styleId="100">
    <w:name w:val="二级条标题"/>
    <w:basedOn w:val="98"/>
    <w:next w:val="96"/>
    <w:qFormat/>
    <w:uiPriority w:val="0"/>
    <w:pPr>
      <w:numPr>
        <w:ilvl w:val="2"/>
      </w:numPr>
      <w:spacing w:before="50" w:after="50"/>
      <w:ind w:left="720" w:hanging="720"/>
      <w:outlineLvl w:val="3"/>
    </w:pPr>
  </w:style>
  <w:style w:type="paragraph" w:customStyle="1" w:styleId="101">
    <w:name w:val="章标题"/>
    <w:next w:val="96"/>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paragraph" w:customStyle="1" w:styleId="102">
    <w:name w:val="前言、引言标题"/>
    <w:next w:val="96"/>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03">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104">
    <w:name w:val="术语"/>
    <w:basedOn w:val="1"/>
    <w:next w:val="1"/>
    <w:qFormat/>
    <w:uiPriority w:val="0"/>
    <w:pPr>
      <w:spacing w:line="360" w:lineRule="auto"/>
      <w:ind w:firstLine="200" w:firstLineChars="200"/>
    </w:pPr>
    <w:rPr>
      <w:rFonts w:ascii="黑体" w:hAnsi="黑体" w:eastAsia="黑体"/>
    </w:rPr>
  </w:style>
  <w:style w:type="paragraph" w:customStyle="1" w:styleId="105">
    <w:name w:val="二级无"/>
    <w:basedOn w:val="100"/>
    <w:qFormat/>
    <w:uiPriority w:val="0"/>
    <w:pPr>
      <w:numPr>
        <w:ilvl w:val="0"/>
        <w:numId w:val="0"/>
      </w:numPr>
      <w:spacing w:beforeLines="0" w:afterLines="0"/>
    </w:pPr>
    <w:rPr>
      <w:rFonts w:ascii="宋体" w:hAnsi="Times New Roman" w:eastAsia="宋体" w:cs="Times New Roman"/>
      <w:kern w:val="0"/>
    </w:rPr>
  </w:style>
  <w:style w:type="paragraph" w:customStyle="1" w:styleId="106">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07">
    <w:name w:val="批注主题 Char"/>
    <w:basedOn w:val="93"/>
    <w:link w:val="33"/>
    <w:semiHidden/>
    <w:qFormat/>
    <w:uiPriority w:val="99"/>
    <w:rPr>
      <w:rFonts w:ascii="Times New Roman" w:hAnsi="Times New Roman" w:eastAsia="宋体" w:cs="Times New Roman"/>
      <w:b/>
      <w:bCs/>
      <w:szCs w:val="24"/>
    </w:rPr>
  </w:style>
  <w:style w:type="paragraph" w:customStyle="1" w:styleId="108">
    <w:name w:val="文献分类号"/>
    <w:autoRedefine/>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09">
    <w:name w:val="其他标准标志"/>
    <w:basedOn w:val="110"/>
    <w:qFormat/>
    <w:uiPriority w:val="0"/>
    <w:pPr>
      <w:framePr w:w="6101" w:wrap="around" w:vAnchor="page" w:hAnchor="page" w:x="4673" w:y="942"/>
    </w:pPr>
    <w:rPr>
      <w:w w:val="130"/>
    </w:rPr>
  </w:style>
  <w:style w:type="paragraph" w:customStyle="1" w:styleId="110">
    <w:name w:val="标准标志"/>
    <w:next w:val="1"/>
    <w:autoRedefine/>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111">
    <w:name w:val="其他标准称谓"/>
    <w:next w:val="1"/>
    <w:autoRedefine/>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12">
    <w:name w:val="封面标准号2"/>
    <w:autoRedefine/>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113">
    <w:name w:val="封面标准代替信息"/>
    <w:autoRedefine/>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114">
    <w:name w:val="封面标准名称"/>
    <w:autoRedefine/>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15">
    <w:name w:val="封面标准英文名称"/>
    <w:basedOn w:val="114"/>
    <w:autoRedefine/>
    <w:qFormat/>
    <w:uiPriority w:val="0"/>
    <w:pPr>
      <w:framePr w:wrap="around"/>
      <w:spacing w:before="370" w:line="400" w:lineRule="exact"/>
    </w:pPr>
    <w:rPr>
      <w:rFonts w:ascii="Times New Roman"/>
      <w:sz w:val="28"/>
      <w:szCs w:val="28"/>
    </w:rPr>
  </w:style>
  <w:style w:type="paragraph" w:customStyle="1" w:styleId="116">
    <w:name w:val="封面一致性程度标识"/>
    <w:basedOn w:val="115"/>
    <w:autoRedefine/>
    <w:qFormat/>
    <w:uiPriority w:val="0"/>
    <w:pPr>
      <w:framePr w:wrap="around"/>
      <w:spacing w:before="440"/>
    </w:pPr>
    <w:rPr>
      <w:rFonts w:ascii="宋体" w:eastAsia="宋体"/>
    </w:rPr>
  </w:style>
  <w:style w:type="paragraph" w:customStyle="1" w:styleId="117">
    <w:name w:val="封面标准文稿类别"/>
    <w:basedOn w:val="116"/>
    <w:autoRedefine/>
    <w:qFormat/>
    <w:uiPriority w:val="0"/>
    <w:pPr>
      <w:framePr w:wrap="around"/>
      <w:spacing w:after="160" w:line="240" w:lineRule="auto"/>
    </w:pPr>
    <w:rPr>
      <w:sz w:val="24"/>
    </w:rPr>
  </w:style>
  <w:style w:type="paragraph" w:customStyle="1" w:styleId="118">
    <w:name w:val="封面标准文稿编辑信息"/>
    <w:basedOn w:val="117"/>
    <w:autoRedefine/>
    <w:qFormat/>
    <w:uiPriority w:val="0"/>
    <w:pPr>
      <w:framePr w:wrap="around"/>
      <w:spacing w:before="180" w:line="180" w:lineRule="exact"/>
    </w:pPr>
    <w:rPr>
      <w:sz w:val="21"/>
    </w:rPr>
  </w:style>
  <w:style w:type="paragraph" w:customStyle="1" w:styleId="119">
    <w:name w:val="其他发布日期"/>
    <w:basedOn w:val="120"/>
    <w:autoRedefine/>
    <w:qFormat/>
    <w:uiPriority w:val="0"/>
    <w:pPr>
      <w:framePr w:wrap="around" w:vAnchor="page" w:hAnchor="text" w:x="1419"/>
    </w:pPr>
  </w:style>
  <w:style w:type="paragraph" w:customStyle="1" w:styleId="120">
    <w:name w:val="发布日期"/>
    <w:autoRedefine/>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121">
    <w:name w:val="其他实施日期"/>
    <w:basedOn w:val="122"/>
    <w:autoRedefine/>
    <w:qFormat/>
    <w:uiPriority w:val="0"/>
    <w:pPr>
      <w:framePr w:wrap="around"/>
    </w:pPr>
  </w:style>
  <w:style w:type="paragraph" w:customStyle="1" w:styleId="122">
    <w:name w:val="实施日期"/>
    <w:basedOn w:val="120"/>
    <w:autoRedefine/>
    <w:qFormat/>
    <w:uiPriority w:val="0"/>
    <w:pPr>
      <w:framePr w:wrap="around" w:vAnchor="page" w:hAnchor="text"/>
      <w:jc w:val="right"/>
    </w:pPr>
  </w:style>
  <w:style w:type="paragraph" w:customStyle="1" w:styleId="123">
    <w:name w:val="其他发布部门"/>
    <w:basedOn w:val="124"/>
    <w:autoRedefine/>
    <w:qFormat/>
    <w:uiPriority w:val="0"/>
    <w:pPr>
      <w:framePr w:wrap="around" w:y="15310"/>
      <w:spacing w:line="0" w:lineRule="atLeast"/>
    </w:pPr>
    <w:rPr>
      <w:rFonts w:ascii="黑体" w:eastAsia="黑体"/>
      <w:b w:val="0"/>
    </w:rPr>
  </w:style>
  <w:style w:type="paragraph" w:customStyle="1" w:styleId="124">
    <w:name w:val="发布部门"/>
    <w:next w:val="96"/>
    <w:autoRedefine/>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character" w:customStyle="1" w:styleId="125">
    <w:name w:val="发布"/>
    <w:autoRedefine/>
    <w:qFormat/>
    <w:uiPriority w:val="0"/>
    <w:rPr>
      <w:rFonts w:ascii="黑体" w:eastAsia="黑体"/>
      <w:spacing w:val="85"/>
      <w:w w:val="100"/>
      <w:position w:val="3"/>
      <w:sz w:val="28"/>
      <w:szCs w:val="28"/>
    </w:rPr>
  </w:style>
  <w:style w:type="paragraph" w:customStyle="1" w:styleId="12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127">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character" w:customStyle="1" w:styleId="128">
    <w:name w:val="未处理的提及2"/>
    <w:basedOn w:val="38"/>
    <w:semiHidden/>
    <w:unhideWhenUsed/>
    <w:qFormat/>
    <w:uiPriority w:val="99"/>
    <w:rPr>
      <w:color w:val="605E5C"/>
      <w:shd w:val="clear" w:color="auto" w:fill="E1DFDD"/>
    </w:rPr>
  </w:style>
  <w:style w:type="character" w:customStyle="1" w:styleId="129">
    <w:name w:val="文档结构图 Char"/>
    <w:basedOn w:val="38"/>
    <w:link w:val="14"/>
    <w:semiHidden/>
    <w:qFormat/>
    <w:uiPriority w:val="99"/>
    <w:rPr>
      <w:rFonts w:ascii="宋体" w:hAnsi="Times New Roman" w:eastAsia="宋体" w:cs="Times New Roman"/>
      <w:kern w:val="2"/>
      <w:sz w:val="18"/>
      <w:szCs w:val="18"/>
    </w:rPr>
  </w:style>
  <w:style w:type="paragraph" w:customStyle="1" w:styleId="130">
    <w:name w:val="修订2"/>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5531</Words>
  <Characters>6203</Characters>
  <Lines>56</Lines>
  <Paragraphs>15</Paragraphs>
  <TotalTime>623</TotalTime>
  <ScaleCrop>false</ScaleCrop>
  <LinksUpToDate>false</LinksUpToDate>
  <CharactersWithSpaces>6406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2026-08-27T16:12:00Z</dcterms:created>
  <dc:creator>x</dc:creator>
  <cp:lastModifiedBy>Dechen</cp:lastModifiedBy>
  <cp:lastPrinted>2026-09-30T02:52:00Z</cp:lastPrinted>
  <dcterms:modified xsi:type="dcterms:W3CDTF">2026-09-30T04:20:26Z</dcterms:modified>
  <cp:revision>120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eyJoZGlkIjoiMTk1NTMzODk4NWUwNjAzM2NkMzM3N2JmNmViNDE4ODYiLCJ1c2VySWQiOiIxNDQ1MDUxMDAyIn0=</vt:lpwstr>
  </property>
  <property fmtid="{D5CDD505-2E9C-101B-9397-08002B2CF9AE}" pid="3" name="KSOProductBuildVer">
    <vt:lpwstr>2052-12.1.0.29161</vt:lpwstr>
  </property>
  <property fmtid="{D5CDD505-2E9C-101B-9397-08002B2CF9AE}" pid="4" name="ICV">
    <vt:lpwstr>0CE6C0552017477EB92552526235FAC3_13</vt:lpwstr>
  </property>
</Properties>
</file>