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1852D">
      <w:pPr>
        <w:pStyle w:val="3"/>
        <w:widowControl/>
        <w:shd w:val="clear" w:color="auto" w:fill="FFFFFF"/>
        <w:spacing w:beforeAutospacing="0" w:afterAutospacing="0"/>
        <w:jc w:val="left"/>
        <w:rPr>
          <w:rFonts w:hint="default" w:ascii="Times New Roman" w:hAnsi="Times New Roman" w:eastAsia="方正小标宋简体" w:cs="Times New Roman"/>
          <w:color w:val="000000"/>
          <w:sz w:val="28"/>
          <w:szCs w:val="28"/>
          <w:shd w:val="clear" w:color="auto" w:fill="FFFFFF"/>
          <w:lang w:val="en-US" w:eastAsia="zh-CN"/>
        </w:rPr>
      </w:pPr>
      <w:r>
        <w:rPr>
          <w:rFonts w:hint="default" w:ascii="Times New Roman" w:hAnsi="Times New Roman" w:eastAsia="方正小标宋简体" w:cs="Times New Roman"/>
          <w:color w:val="000000"/>
          <w:sz w:val="28"/>
          <w:szCs w:val="28"/>
          <w:shd w:val="clear" w:color="auto" w:fill="FFFFFF"/>
        </w:rPr>
        <w:t>附件2</w:t>
      </w:r>
      <w:r>
        <w:rPr>
          <w:rFonts w:hint="default" w:ascii="Times New Roman" w:hAnsi="Times New Roman" w:eastAsia="方正小标宋简体" w:cs="Times New Roman"/>
          <w:color w:val="000000"/>
          <w:sz w:val="28"/>
          <w:szCs w:val="28"/>
          <w:shd w:val="clear" w:color="auto" w:fill="FFFFFF"/>
          <w:lang w:val="en-US" w:eastAsia="zh-CN"/>
        </w:rPr>
        <w:t xml:space="preserve">  </w:t>
      </w:r>
    </w:p>
    <w:p w14:paraId="007F0CAC">
      <w:pPr>
        <w:pStyle w:val="3"/>
        <w:widowControl/>
        <w:snapToGrid w:val="0"/>
        <w:spacing w:beforeAutospacing="0" w:afterAutospacing="0"/>
        <w:jc w:val="center"/>
        <w:rPr>
          <w:rFonts w:hint="default" w:ascii="Times New Roman" w:hAnsi="Times New Roman" w:eastAsia="方正小标宋简体" w:cs="Times New Roman"/>
          <w:kern w:val="2"/>
          <w:sz w:val="32"/>
          <w:szCs w:val="32"/>
          <w:lang w:val="en-US" w:eastAsia="zh-CN" w:bidi="ar-SA"/>
        </w:rPr>
      </w:pPr>
    </w:p>
    <w:p w14:paraId="7C89E68D">
      <w:pPr>
        <w:pStyle w:val="3"/>
        <w:widowControl/>
        <w:snapToGrid w:val="0"/>
        <w:spacing w:beforeAutospacing="0" w:afterAutospacing="0"/>
        <w:jc w:val="center"/>
        <w:rPr>
          <w:rFonts w:hint="default" w:ascii="Times New Roman" w:hAnsi="Times New Roman" w:eastAsia="方正小标宋简体" w:cs="Times New Roman"/>
          <w:kern w:val="2"/>
          <w:sz w:val="32"/>
          <w:szCs w:val="32"/>
          <w:lang w:val="en-US" w:eastAsia="zh-CN" w:bidi="ar-SA"/>
        </w:rPr>
      </w:pPr>
      <w:r>
        <w:rPr>
          <w:rFonts w:hint="default" w:ascii="Times New Roman" w:hAnsi="Times New Roman" w:eastAsia="方正小标宋简体" w:cs="Times New Roman"/>
          <w:kern w:val="2"/>
          <w:sz w:val="32"/>
          <w:szCs w:val="32"/>
          <w:lang w:val="en-US" w:eastAsia="zh-CN" w:bidi="ar-SA"/>
        </w:rPr>
        <w:t>2026年西藏自治区新污染物环境监测</w:t>
      </w:r>
    </w:p>
    <w:p w14:paraId="502CD513">
      <w:pPr>
        <w:pStyle w:val="3"/>
        <w:widowControl/>
        <w:snapToGrid w:val="0"/>
        <w:spacing w:beforeAutospacing="0" w:afterAutospacing="0"/>
        <w:jc w:val="center"/>
        <w:rPr>
          <w:rFonts w:hint="default" w:ascii="Times New Roman" w:hAnsi="Times New Roman" w:eastAsia="方正小标宋简体" w:cs="Times New Roman"/>
          <w:kern w:val="2"/>
          <w:sz w:val="32"/>
          <w:szCs w:val="32"/>
          <w:lang w:val="en-US" w:eastAsia="zh-CN" w:bidi="ar-SA"/>
        </w:rPr>
      </w:pPr>
      <w:r>
        <w:rPr>
          <w:rFonts w:hint="default" w:ascii="Times New Roman" w:hAnsi="Times New Roman" w:eastAsia="方正小标宋简体" w:cs="Times New Roman"/>
          <w:kern w:val="2"/>
          <w:sz w:val="32"/>
          <w:szCs w:val="32"/>
          <w:lang w:val="en-US" w:eastAsia="zh-CN" w:bidi="ar-SA"/>
        </w:rPr>
        <w:t>服务综合评分细则</w:t>
      </w:r>
    </w:p>
    <w:p w14:paraId="5423F1CB">
      <w:pPr>
        <w:widowControl w:val="0"/>
        <w:tabs>
          <w:tab w:val="left" w:pos="0"/>
        </w:tabs>
        <w:spacing w:line="600" w:lineRule="exact"/>
        <w:rPr>
          <w:rFonts w:hint="default" w:ascii="Times New Roman" w:hAnsi="Times New Roman" w:eastAsia="方正小标宋简体" w:cs="Times New Roman"/>
          <w:kern w:val="2"/>
          <w:sz w:val="32"/>
          <w:szCs w:val="32"/>
          <w:lang w:val="en-US" w:eastAsia="zh-CN" w:bidi="ar-SA"/>
        </w:rPr>
      </w:pPr>
    </w:p>
    <w:p w14:paraId="417701FC">
      <w:pPr>
        <w:adjustRightInd w:val="0"/>
        <w:snapToGrid w:val="0"/>
        <w:spacing w:line="560" w:lineRule="exact"/>
        <w:ind w:firstLine="565" w:firstLineChars="202"/>
        <w:outlineLvl w:val="0"/>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一、评审原则</w:t>
      </w:r>
    </w:p>
    <w:p w14:paraId="6513449D">
      <w:pPr>
        <w:adjustRightInd w:val="0"/>
        <w:snapToGrid w:val="0"/>
        <w:spacing w:line="56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（一）评审小组构成：本项目的评审小组由采购单位组建，成员人数为三人以上（含三人）单数。</w:t>
      </w:r>
    </w:p>
    <w:p w14:paraId="4ADCDBEF">
      <w:pPr>
        <w:adjustRightInd w:val="0"/>
        <w:snapToGrid w:val="0"/>
        <w:spacing w:line="56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（二）评审依据：本评审办法和供应商提交的响应文件。</w:t>
      </w:r>
    </w:p>
    <w:p w14:paraId="6CC34C68">
      <w:pPr>
        <w:adjustRightInd w:val="0"/>
        <w:snapToGrid w:val="0"/>
        <w:spacing w:line="56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（三）评审方法：综合评分法。</w:t>
      </w:r>
    </w:p>
    <w:p w14:paraId="018A64CE">
      <w:pPr>
        <w:adjustRightInd w:val="0"/>
        <w:snapToGrid w:val="0"/>
        <w:spacing w:line="560" w:lineRule="exact"/>
        <w:ind w:firstLine="565" w:firstLineChars="202"/>
        <w:outlineLvl w:val="0"/>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二、评审方法</w:t>
      </w:r>
    </w:p>
    <w:p w14:paraId="73248AC8">
      <w:pPr>
        <w:adjustRightInd w:val="0"/>
        <w:snapToGrid w:val="0"/>
        <w:spacing w:line="56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供应商提交的报价及资格材料经初核符合要求的进入详评，评审小组将按本评审办法和响应文件为评定依据，采用百分制综合评分法：</w:t>
      </w:r>
    </w:p>
    <w:p w14:paraId="186AA9B3">
      <w:pPr>
        <w:adjustRightInd w:val="0"/>
        <w:snapToGrid w:val="0"/>
        <w:spacing w:line="560" w:lineRule="exact"/>
        <w:ind w:firstLine="560" w:firstLineChars="200"/>
        <w:outlineLvl w:val="1"/>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（一）分值分配表</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1"/>
        <w:gridCol w:w="3528"/>
        <w:gridCol w:w="3710"/>
      </w:tblGrid>
      <w:tr w14:paraId="7D0D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2" w:type="pct"/>
            <w:noWrap w:val="0"/>
            <w:vAlign w:val="top"/>
          </w:tcPr>
          <w:p w14:paraId="77C62C04">
            <w:pPr>
              <w:pStyle w:val="8"/>
              <w:widowControl w:val="0"/>
              <w:adjustRightInd w:val="0"/>
              <w:snapToGrid w:val="0"/>
              <w:spacing w:line="320" w:lineRule="exact"/>
              <w:ind w:firstLine="0" w:firstLineChars="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2070" w:type="pct"/>
            <w:noWrap w:val="0"/>
            <w:vAlign w:val="top"/>
          </w:tcPr>
          <w:p w14:paraId="334332E1">
            <w:pPr>
              <w:pStyle w:val="8"/>
              <w:widowControl w:val="0"/>
              <w:adjustRightInd w:val="0"/>
              <w:snapToGrid w:val="0"/>
              <w:spacing w:line="320" w:lineRule="exact"/>
              <w:ind w:firstLine="0" w:firstLineChars="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评分因素</w:t>
            </w:r>
          </w:p>
        </w:tc>
        <w:tc>
          <w:tcPr>
            <w:tcW w:w="2177" w:type="pct"/>
            <w:noWrap w:val="0"/>
            <w:vAlign w:val="top"/>
          </w:tcPr>
          <w:p w14:paraId="69ABEBEC">
            <w:pPr>
              <w:pStyle w:val="8"/>
              <w:widowControl w:val="0"/>
              <w:adjustRightInd w:val="0"/>
              <w:snapToGrid w:val="0"/>
              <w:spacing w:line="320" w:lineRule="exact"/>
              <w:ind w:firstLine="0" w:firstLineChars="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分值分配</w:t>
            </w:r>
          </w:p>
        </w:tc>
      </w:tr>
      <w:tr w14:paraId="1E12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2" w:type="pct"/>
            <w:noWrap w:val="0"/>
            <w:vAlign w:val="top"/>
          </w:tcPr>
          <w:p w14:paraId="0B4619B1">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2070" w:type="pct"/>
            <w:noWrap w:val="0"/>
            <w:vAlign w:val="top"/>
          </w:tcPr>
          <w:p w14:paraId="1E2E6AE9">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价格分</w:t>
            </w:r>
          </w:p>
        </w:tc>
        <w:tc>
          <w:tcPr>
            <w:tcW w:w="2177" w:type="pct"/>
            <w:noWrap w:val="0"/>
            <w:vAlign w:val="top"/>
          </w:tcPr>
          <w:p w14:paraId="234AE630">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20</w:t>
            </w:r>
          </w:p>
        </w:tc>
      </w:tr>
      <w:tr w14:paraId="1268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2" w:type="pct"/>
            <w:noWrap w:val="0"/>
            <w:vAlign w:val="top"/>
          </w:tcPr>
          <w:p w14:paraId="030BEFD6">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2070" w:type="pct"/>
            <w:noWrap w:val="0"/>
            <w:vAlign w:val="top"/>
          </w:tcPr>
          <w:p w14:paraId="55AB6D47">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技术分</w:t>
            </w:r>
          </w:p>
        </w:tc>
        <w:tc>
          <w:tcPr>
            <w:tcW w:w="2177" w:type="pct"/>
            <w:noWrap w:val="0"/>
            <w:vAlign w:val="top"/>
          </w:tcPr>
          <w:p w14:paraId="5EFB71FF">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25</w:t>
            </w:r>
          </w:p>
        </w:tc>
      </w:tr>
      <w:tr w14:paraId="282B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2" w:type="pct"/>
            <w:noWrap w:val="0"/>
            <w:vAlign w:val="top"/>
          </w:tcPr>
          <w:p w14:paraId="0B0BB403">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2070" w:type="pct"/>
            <w:noWrap w:val="0"/>
            <w:vAlign w:val="top"/>
          </w:tcPr>
          <w:p w14:paraId="350EFA36">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技术支持分</w:t>
            </w:r>
          </w:p>
        </w:tc>
        <w:tc>
          <w:tcPr>
            <w:tcW w:w="2177" w:type="pct"/>
            <w:noWrap w:val="0"/>
            <w:vAlign w:val="top"/>
          </w:tcPr>
          <w:p w14:paraId="2ABBC057">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30</w:t>
            </w:r>
          </w:p>
        </w:tc>
      </w:tr>
      <w:tr w14:paraId="5678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2" w:type="pct"/>
            <w:noWrap w:val="0"/>
            <w:vAlign w:val="top"/>
          </w:tcPr>
          <w:p w14:paraId="357F9716">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2070" w:type="pct"/>
            <w:noWrap w:val="0"/>
            <w:vAlign w:val="top"/>
          </w:tcPr>
          <w:p w14:paraId="5C8DE042">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商务分</w:t>
            </w:r>
          </w:p>
        </w:tc>
        <w:tc>
          <w:tcPr>
            <w:tcW w:w="2177" w:type="pct"/>
            <w:noWrap w:val="0"/>
            <w:vAlign w:val="top"/>
          </w:tcPr>
          <w:p w14:paraId="172445DA">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lang w:val="en-US"/>
              </w:rPr>
            </w:pPr>
            <w:r>
              <w:rPr>
                <w:rFonts w:hint="default" w:ascii="Times New Roman" w:hAnsi="Times New Roman" w:eastAsia="宋体" w:cs="Times New Roman"/>
                <w:color w:val="000000"/>
                <w:szCs w:val="21"/>
                <w:lang w:val="en-US" w:eastAsia="zh-CN"/>
              </w:rPr>
              <w:t>25</w:t>
            </w:r>
          </w:p>
        </w:tc>
      </w:tr>
      <w:tr w14:paraId="28F1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2" w:type="pct"/>
            <w:noWrap w:val="0"/>
            <w:vAlign w:val="top"/>
          </w:tcPr>
          <w:p w14:paraId="026FB492">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2070" w:type="pct"/>
            <w:noWrap w:val="0"/>
            <w:vAlign w:val="top"/>
          </w:tcPr>
          <w:p w14:paraId="515C1174">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合计</w:t>
            </w:r>
          </w:p>
        </w:tc>
        <w:tc>
          <w:tcPr>
            <w:tcW w:w="2177" w:type="pct"/>
            <w:noWrap w:val="0"/>
            <w:vAlign w:val="top"/>
          </w:tcPr>
          <w:p w14:paraId="7A84C3FF">
            <w:pPr>
              <w:pStyle w:val="8"/>
              <w:widowControl w:val="0"/>
              <w:adjustRightInd w:val="0"/>
              <w:snapToGrid w:val="0"/>
              <w:spacing w:line="320" w:lineRule="exact"/>
              <w:ind w:firstLine="0" w:firstLineChars="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100</w:t>
            </w:r>
          </w:p>
        </w:tc>
      </w:tr>
    </w:tbl>
    <w:p w14:paraId="0FFA1A22">
      <w:pPr>
        <w:numPr>
          <w:ilvl w:val="0"/>
          <w:numId w:val="0"/>
        </w:numPr>
        <w:adjustRightInd w:val="0"/>
        <w:snapToGrid w:val="0"/>
        <w:spacing w:line="560" w:lineRule="exact"/>
        <w:outlineLvl w:val="1"/>
        <w:rPr>
          <w:rFonts w:hint="default" w:ascii="Times New Roman" w:hAnsi="Times New Roman" w:eastAsia="楷体_GB2312" w:cs="Times New Roman"/>
          <w:color w:val="000000"/>
          <w:sz w:val="28"/>
          <w:szCs w:val="28"/>
        </w:rPr>
      </w:pPr>
    </w:p>
    <w:p w14:paraId="4B275901">
      <w:pPr>
        <w:pStyle w:val="4"/>
        <w:rPr>
          <w:rFonts w:hint="default" w:ascii="Times New Roman" w:hAnsi="Times New Roman" w:eastAsia="楷体_GB2312" w:cs="Times New Roman"/>
          <w:color w:val="000000"/>
          <w:sz w:val="28"/>
          <w:szCs w:val="28"/>
        </w:rPr>
      </w:pPr>
    </w:p>
    <w:p w14:paraId="46036E0C">
      <w:pPr>
        <w:pStyle w:val="2"/>
        <w:rPr>
          <w:rFonts w:hint="default" w:ascii="Times New Roman" w:hAnsi="Times New Roman" w:eastAsia="楷体_GB2312" w:cs="Times New Roman"/>
          <w:color w:val="000000"/>
          <w:sz w:val="28"/>
          <w:szCs w:val="28"/>
        </w:rPr>
      </w:pPr>
    </w:p>
    <w:p w14:paraId="1DF94D51">
      <w:pPr>
        <w:pStyle w:val="4"/>
        <w:rPr>
          <w:rFonts w:hint="default" w:ascii="Times New Roman" w:hAnsi="Times New Roman" w:eastAsia="楷体_GB2312" w:cs="Times New Roman"/>
          <w:color w:val="000000"/>
          <w:sz w:val="28"/>
          <w:szCs w:val="28"/>
        </w:rPr>
      </w:pPr>
    </w:p>
    <w:p w14:paraId="5B0AFBD1">
      <w:pPr>
        <w:pStyle w:val="2"/>
        <w:rPr>
          <w:rFonts w:hint="default" w:ascii="Times New Roman" w:hAnsi="Times New Roman" w:eastAsia="楷体_GB2312" w:cs="Times New Roman"/>
          <w:color w:val="000000"/>
          <w:sz w:val="28"/>
          <w:szCs w:val="28"/>
        </w:rPr>
      </w:pPr>
    </w:p>
    <w:p w14:paraId="78E2DBA8">
      <w:pPr>
        <w:pStyle w:val="4"/>
        <w:rPr>
          <w:rFonts w:hint="default" w:ascii="Times New Roman" w:hAnsi="Times New Roman" w:cs="Times New Roman"/>
        </w:rPr>
      </w:pPr>
    </w:p>
    <w:p w14:paraId="7BF272F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560" w:firstLineChars="200"/>
        <w:textAlignment w:val="auto"/>
        <w:outlineLvl w:val="1"/>
        <w:rPr>
          <w:rFonts w:hint="default" w:ascii="Times New Roman" w:hAnsi="Times New Roman" w:eastAsia="方正小标宋简体" w:cs="Times New Roman"/>
          <w:color w:val="000000"/>
          <w:sz w:val="28"/>
          <w:szCs w:val="28"/>
          <w:shd w:val="clear" w:color="auto" w:fill="FFFFFF"/>
        </w:rPr>
      </w:pPr>
      <w:r>
        <w:rPr>
          <w:rFonts w:hint="default" w:ascii="Times New Roman" w:hAnsi="Times New Roman" w:eastAsia="楷体_GB2312" w:cs="Times New Roman"/>
          <w:color w:val="000000"/>
          <w:sz w:val="28"/>
          <w:szCs w:val="28"/>
          <w:lang w:eastAsia="zh-CN"/>
        </w:rPr>
        <w:t>（二）</w:t>
      </w:r>
      <w:r>
        <w:rPr>
          <w:rFonts w:hint="default" w:ascii="Times New Roman" w:hAnsi="Times New Roman" w:eastAsia="楷体_GB2312" w:cs="Times New Roman"/>
          <w:color w:val="000000"/>
          <w:sz w:val="28"/>
          <w:szCs w:val="28"/>
        </w:rPr>
        <w:t>评分细则（按四舍五入取至百分位）</w:t>
      </w:r>
    </w:p>
    <w:tbl>
      <w:tblPr>
        <w:tblStyle w:val="5"/>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47"/>
        <w:gridCol w:w="762"/>
        <w:gridCol w:w="7303"/>
      </w:tblGrid>
      <w:tr w14:paraId="7BFE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347" w:type="dxa"/>
            <w:tcMar>
              <w:left w:w="53" w:type="dxa"/>
              <w:right w:w="53" w:type="dxa"/>
            </w:tcMar>
            <w:vAlign w:val="center"/>
          </w:tcPr>
          <w:p w14:paraId="256D8225">
            <w:pPr>
              <w:pStyle w:val="3"/>
              <w:widowControl/>
              <w:snapToGrid w:val="0"/>
              <w:spacing w:beforeAutospacing="0" w:afterAutospacing="0"/>
              <w:jc w:val="center"/>
              <w:rPr>
                <w:rFonts w:hint="default" w:ascii="Times New Roman" w:hAnsi="Times New Roman" w:eastAsia="宋体" w:cs="Times New Roman"/>
                <w:b/>
              </w:rPr>
            </w:pPr>
            <w:r>
              <w:rPr>
                <w:rFonts w:hint="default" w:ascii="Times New Roman" w:hAnsi="Times New Roman" w:eastAsia="宋体" w:cs="Times New Roman"/>
                <w:b/>
              </w:rPr>
              <w:t>序号</w:t>
            </w:r>
          </w:p>
        </w:tc>
        <w:tc>
          <w:tcPr>
            <w:tcW w:w="762" w:type="dxa"/>
            <w:tcMar>
              <w:left w:w="53" w:type="dxa"/>
              <w:right w:w="53" w:type="dxa"/>
            </w:tcMar>
            <w:vAlign w:val="center"/>
          </w:tcPr>
          <w:p w14:paraId="54629427">
            <w:pPr>
              <w:pStyle w:val="3"/>
              <w:widowControl/>
              <w:snapToGrid w:val="0"/>
              <w:spacing w:beforeAutospacing="0" w:afterAutospacing="0"/>
              <w:jc w:val="center"/>
              <w:rPr>
                <w:rFonts w:hint="default" w:ascii="Times New Roman" w:hAnsi="Times New Roman" w:eastAsia="宋体" w:cs="Times New Roman"/>
                <w:b/>
              </w:rPr>
            </w:pPr>
            <w:r>
              <w:rPr>
                <w:rFonts w:hint="default" w:ascii="Times New Roman" w:hAnsi="Times New Roman" w:eastAsia="宋体" w:cs="Times New Roman"/>
                <w:b/>
              </w:rPr>
              <w:t>评分内容</w:t>
            </w:r>
          </w:p>
        </w:tc>
        <w:tc>
          <w:tcPr>
            <w:tcW w:w="7303" w:type="dxa"/>
            <w:tcMar>
              <w:left w:w="53" w:type="dxa"/>
              <w:right w:w="53" w:type="dxa"/>
            </w:tcMar>
            <w:vAlign w:val="center"/>
          </w:tcPr>
          <w:p w14:paraId="1FFE1B51">
            <w:pPr>
              <w:pStyle w:val="3"/>
              <w:widowControl/>
              <w:snapToGrid w:val="0"/>
              <w:spacing w:beforeAutospacing="0" w:afterAutospacing="0"/>
              <w:jc w:val="center"/>
              <w:rPr>
                <w:rFonts w:hint="default" w:ascii="Times New Roman" w:hAnsi="Times New Roman" w:eastAsia="宋体" w:cs="Times New Roman"/>
                <w:b/>
              </w:rPr>
            </w:pPr>
            <w:r>
              <w:rPr>
                <w:rFonts w:hint="default" w:ascii="Times New Roman" w:hAnsi="Times New Roman" w:eastAsia="宋体" w:cs="Times New Roman"/>
                <w:b/>
              </w:rPr>
              <w:t>评分标准</w:t>
            </w:r>
          </w:p>
        </w:tc>
      </w:tr>
      <w:tr w14:paraId="7076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2" w:type="dxa"/>
            <w:gridSpan w:val="3"/>
            <w:tcMar>
              <w:left w:w="53" w:type="dxa"/>
              <w:right w:w="53" w:type="dxa"/>
            </w:tcMar>
            <w:vAlign w:val="center"/>
          </w:tcPr>
          <w:p w14:paraId="0CF23648">
            <w:pPr>
              <w:pStyle w:val="3"/>
              <w:widowControl/>
              <w:snapToGrid w:val="0"/>
              <w:spacing w:beforeAutospacing="0" w:afterAutospacing="0"/>
              <w:jc w:val="center"/>
              <w:rPr>
                <w:rFonts w:hint="default" w:ascii="Times New Roman" w:hAnsi="Times New Roman" w:cs="Times New Roman"/>
              </w:rPr>
            </w:pPr>
            <w:r>
              <w:rPr>
                <w:rFonts w:hint="eastAsia" w:ascii="方正黑体_GBK" w:hAnsi="方正黑体_GBK" w:eastAsia="方正黑体_GBK" w:cs="方正黑体_GBK"/>
              </w:rPr>
              <w:t>（一）价格部分（满分</w:t>
            </w:r>
            <w:r>
              <w:rPr>
                <w:rFonts w:hint="eastAsia" w:ascii="方正黑体_GBK" w:hAnsi="方正黑体_GBK" w:eastAsia="方正黑体_GBK" w:cs="方正黑体_GBK"/>
                <w:lang w:val="en-US" w:eastAsia="zh-CN"/>
              </w:rPr>
              <w:t>20</w:t>
            </w:r>
            <w:r>
              <w:rPr>
                <w:rFonts w:hint="eastAsia" w:ascii="方正黑体_GBK" w:hAnsi="方正黑体_GBK" w:eastAsia="方正黑体_GBK" w:cs="方正黑体_GBK"/>
              </w:rPr>
              <w:t>分）</w:t>
            </w:r>
          </w:p>
        </w:tc>
      </w:tr>
      <w:tr w14:paraId="61F4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7" w:type="dxa"/>
            <w:tcMar>
              <w:left w:w="53" w:type="dxa"/>
              <w:right w:w="53" w:type="dxa"/>
            </w:tcMar>
            <w:vAlign w:val="center"/>
          </w:tcPr>
          <w:p w14:paraId="0227E40E">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1</w:t>
            </w:r>
          </w:p>
        </w:tc>
        <w:tc>
          <w:tcPr>
            <w:tcW w:w="762" w:type="dxa"/>
            <w:tcMar>
              <w:left w:w="53" w:type="dxa"/>
              <w:right w:w="53" w:type="dxa"/>
            </w:tcMar>
            <w:vAlign w:val="center"/>
          </w:tcPr>
          <w:p w14:paraId="0E602F08">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价</w:t>
            </w:r>
          </w:p>
          <w:p w14:paraId="372E2C6E">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格</w:t>
            </w:r>
          </w:p>
          <w:p w14:paraId="71A9C9FD">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分</w:t>
            </w:r>
          </w:p>
          <w:p w14:paraId="43B1CF96">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（满分</w:t>
            </w:r>
            <w:r>
              <w:rPr>
                <w:rFonts w:hint="default" w:ascii="Times New Roman" w:hAnsi="Times New Roman" w:eastAsia="宋体" w:cs="Times New Roman"/>
                <w:lang w:val="en-US" w:eastAsia="zh-CN"/>
              </w:rPr>
              <w:t>20</w:t>
            </w:r>
            <w:r>
              <w:rPr>
                <w:rFonts w:hint="default" w:ascii="Times New Roman" w:hAnsi="Times New Roman" w:eastAsia="宋体" w:cs="Times New Roman"/>
              </w:rPr>
              <w:t>分）</w:t>
            </w:r>
          </w:p>
        </w:tc>
        <w:tc>
          <w:tcPr>
            <w:tcW w:w="7303" w:type="dxa"/>
            <w:tcMar>
              <w:left w:w="53" w:type="dxa"/>
              <w:right w:w="53" w:type="dxa"/>
            </w:tcMar>
            <w:vAlign w:val="center"/>
          </w:tcPr>
          <w:p w14:paraId="7151F3DF">
            <w:pPr>
              <w:pStyle w:val="8"/>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left"/>
              <w:textAlignment w:val="auto"/>
              <w:rPr>
                <w:rFonts w:hint="eastAsia"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rPr>
              <w:t>满足</w:t>
            </w:r>
            <w:r>
              <w:rPr>
                <w:rFonts w:hint="eastAsia" w:ascii="Times New Roman" w:hAnsi="Times New Roman" w:eastAsia="宋体" w:cs="Times New Roman"/>
                <w:color w:val="000000"/>
                <w:szCs w:val="21"/>
                <w:lang w:val="en-US" w:eastAsia="zh-CN"/>
              </w:rPr>
              <w:t>采购</w:t>
            </w:r>
            <w:r>
              <w:rPr>
                <w:rFonts w:hint="eastAsia" w:ascii="Times New Roman" w:hAnsi="Times New Roman" w:eastAsia="宋体" w:cs="Times New Roman"/>
                <w:color w:val="000000"/>
                <w:szCs w:val="21"/>
                <w:lang w:eastAsia="zh-CN"/>
              </w:rPr>
              <w:t>文件</w:t>
            </w:r>
            <w:r>
              <w:rPr>
                <w:rFonts w:hint="eastAsia" w:ascii="Times New Roman" w:hAnsi="Times New Roman" w:eastAsia="宋体" w:cs="Times New Roman"/>
                <w:color w:val="000000"/>
                <w:szCs w:val="21"/>
              </w:rPr>
              <w:t>要求且响应价格最低的响应报价为基准价，其价格分为满分。其他</w:t>
            </w:r>
            <w:r>
              <w:rPr>
                <w:rFonts w:hint="eastAsia" w:ascii="Times New Roman" w:hAnsi="Times New Roman" w:eastAsia="宋体" w:cs="Times New Roman"/>
                <w:color w:val="000000"/>
                <w:szCs w:val="21"/>
                <w:lang w:eastAsia="zh-CN"/>
              </w:rPr>
              <w:t>供应商</w:t>
            </w:r>
            <w:r>
              <w:rPr>
                <w:rFonts w:hint="eastAsia" w:ascii="Times New Roman" w:hAnsi="Times New Roman" w:eastAsia="宋体" w:cs="Times New Roman"/>
                <w:color w:val="000000"/>
                <w:szCs w:val="21"/>
              </w:rPr>
              <w:t>的价格分统一按照下列公式计算：报价得分=(基准价÷最后报价)×</w:t>
            </w:r>
            <w:r>
              <w:rPr>
                <w:rFonts w:hint="eastAsia" w:ascii="Times New Roman" w:hAnsi="Times New Roman" w:eastAsia="宋体" w:cs="Times New Roman"/>
                <w:color w:val="000000"/>
                <w:szCs w:val="21"/>
                <w:lang w:val="en-US" w:eastAsia="zh-CN"/>
              </w:rPr>
              <w:t>2</w:t>
            </w:r>
            <w:r>
              <w:rPr>
                <w:rFonts w:hint="eastAsia" w:ascii="Times New Roman" w:hAnsi="Times New Roman" w:eastAsia="宋体" w:cs="Times New Roman"/>
                <w:color w:val="000000"/>
                <w:szCs w:val="21"/>
              </w:rPr>
              <w:t>0%×100。</w:t>
            </w:r>
          </w:p>
          <w:p w14:paraId="1B41A860">
            <w:pPr>
              <w:pStyle w:val="3"/>
              <w:widowControl/>
              <w:snapToGrid w:val="0"/>
              <w:spacing w:beforeAutospacing="0" w:afterAutospacing="0"/>
              <w:rPr>
                <w:rFonts w:hint="default" w:ascii="Times New Roman" w:hAnsi="Times New Roman" w:eastAsia="宋体" w:cs="Times New Roman"/>
              </w:rPr>
            </w:pPr>
            <w:r>
              <w:rPr>
                <w:rFonts w:hint="default" w:ascii="Times New Roman" w:hAnsi="Times New Roman" w:eastAsia="宋体" w:cs="Times New Roman"/>
              </w:rPr>
              <w:t>注：响应人投标报价不得超过采购预算，否则为无效报价。</w:t>
            </w:r>
          </w:p>
          <w:p w14:paraId="60519682">
            <w:pPr>
              <w:widowControl/>
              <w:adjustRightInd w:val="0"/>
              <w:snapToGrid w:val="0"/>
              <w:spacing w:line="300" w:lineRule="exact"/>
              <w:rPr>
                <w:rFonts w:hint="default" w:ascii="Times New Roman" w:hAnsi="Times New Roman" w:eastAsia="宋体" w:cs="Times New Roman"/>
                <w:szCs w:val="20"/>
                <w:lang w:val="en-US" w:eastAsia="zh-CN"/>
              </w:rPr>
            </w:pPr>
            <w:r>
              <w:rPr>
                <w:rFonts w:hint="default" w:ascii="Times New Roman" w:hAnsi="Times New Roman" w:eastAsia="宋体" w:cs="Times New Roman"/>
                <w:szCs w:val="20"/>
                <w:lang w:val="en-US" w:eastAsia="zh-CN"/>
              </w:rPr>
              <w:t>（1）根据《政府采购促进中小企业发展管理办法》（财库﹝2020﹞46 号）第九条要求，对小型和微型企业报价给予6%的扣除，用扣除后的投标报价参与评审。</w:t>
            </w:r>
          </w:p>
          <w:p w14:paraId="2DF2E095">
            <w:pPr>
              <w:widowControl/>
              <w:adjustRightInd w:val="0"/>
              <w:snapToGrid w:val="0"/>
              <w:spacing w:line="300" w:lineRule="exact"/>
              <w:rPr>
                <w:rFonts w:hint="default" w:ascii="Times New Roman" w:hAnsi="Times New Roman" w:eastAsia="宋体" w:cs="Times New Roman"/>
                <w:szCs w:val="20"/>
                <w:lang w:val="en-US" w:eastAsia="zh-CN"/>
              </w:rPr>
            </w:pPr>
            <w:r>
              <w:rPr>
                <w:rFonts w:hint="default" w:ascii="Times New Roman" w:hAnsi="Times New Roman" w:eastAsia="宋体" w:cs="Times New Roman"/>
                <w:szCs w:val="20"/>
                <w:lang w:val="en-US" w:eastAsia="zh-CN"/>
              </w:rPr>
              <w:t>（2）根据《关于政府采购支持监狱企业发展有关问题的通知》（财库﹝2014﹞68号）的要求，监狱和戒毒企业（以下简称监狱企业）视同小型、微型企业。须提供由省级以上监狱管理局、戒毒管理局（含新疆生产建设兵团）出具的属于监狱企业的证明文件。</w:t>
            </w:r>
          </w:p>
          <w:p w14:paraId="2D2BD2D0">
            <w:pPr>
              <w:pStyle w:val="3"/>
              <w:widowControl/>
              <w:snapToGrid w:val="0"/>
              <w:spacing w:beforeAutospacing="0" w:afterAutospacing="0"/>
              <w:rPr>
                <w:rFonts w:hint="default" w:ascii="Times New Roman" w:hAnsi="Times New Roman" w:eastAsia="宋体" w:cs="Times New Roman"/>
              </w:rPr>
            </w:pPr>
            <w:r>
              <w:rPr>
                <w:rFonts w:hint="default" w:ascii="Times New Roman" w:hAnsi="Times New Roman" w:eastAsia="宋体" w:cs="Times New Roman"/>
                <w:kern w:val="2"/>
                <w:sz w:val="21"/>
                <w:szCs w:val="20"/>
                <w:lang w:val="en-US" w:eastAsia="zh-CN" w:bidi="ar-SA"/>
              </w:rPr>
              <w:t>（3）根据《三部门联合发布关于促进残疾人就业政府采购政策的通知》（财库）﹝2017﹞141号），残疾人福利性单位视同小型、微型企业，须提供《残疾人福利性单位声明函》，未提供声明函者不予认定。</w:t>
            </w:r>
          </w:p>
        </w:tc>
      </w:tr>
      <w:tr w14:paraId="0A9E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2" w:type="dxa"/>
            <w:gridSpan w:val="3"/>
            <w:tcMar>
              <w:left w:w="53" w:type="dxa"/>
              <w:right w:w="53" w:type="dxa"/>
            </w:tcMar>
            <w:vAlign w:val="center"/>
          </w:tcPr>
          <w:p w14:paraId="70A390EF">
            <w:pPr>
              <w:pStyle w:val="3"/>
              <w:widowControl/>
              <w:snapToGrid w:val="0"/>
              <w:spacing w:beforeAutospacing="0" w:afterAutospacing="0"/>
              <w:jc w:val="center"/>
              <w:rPr>
                <w:rFonts w:hint="default" w:ascii="Times New Roman" w:hAnsi="Times New Roman" w:cs="Times New Roman"/>
              </w:rPr>
            </w:pPr>
            <w:r>
              <w:rPr>
                <w:rFonts w:hint="default" w:ascii="方正黑体_GBK" w:hAnsi="方正黑体_GBK" w:eastAsia="方正黑体_GBK" w:cs="方正黑体_GBK"/>
              </w:rPr>
              <w:t>（二）技术部分（满分</w:t>
            </w:r>
            <w:r>
              <w:rPr>
                <w:rFonts w:hint="eastAsia" w:ascii="方正黑体_GBK" w:hAnsi="方正黑体_GBK" w:eastAsia="方正黑体_GBK" w:cs="方正黑体_GBK"/>
                <w:lang w:val="en-US" w:eastAsia="zh-CN"/>
              </w:rPr>
              <w:t>15</w:t>
            </w:r>
            <w:r>
              <w:rPr>
                <w:rFonts w:hint="default" w:ascii="方正黑体_GBK" w:hAnsi="方正黑体_GBK" w:eastAsia="方正黑体_GBK" w:cs="方正黑体_GBK"/>
              </w:rPr>
              <w:t>分）</w:t>
            </w:r>
          </w:p>
        </w:tc>
      </w:tr>
      <w:tr w14:paraId="1C67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9" w:hRule="atLeast"/>
          <w:jc w:val="center"/>
        </w:trPr>
        <w:tc>
          <w:tcPr>
            <w:tcW w:w="347" w:type="dxa"/>
            <w:tcMar>
              <w:left w:w="53" w:type="dxa"/>
              <w:right w:w="53" w:type="dxa"/>
            </w:tcMar>
            <w:vAlign w:val="center"/>
          </w:tcPr>
          <w:p w14:paraId="012C7399">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1</w:t>
            </w:r>
          </w:p>
        </w:tc>
        <w:tc>
          <w:tcPr>
            <w:tcW w:w="762" w:type="dxa"/>
            <w:tcMar>
              <w:left w:w="53" w:type="dxa"/>
              <w:right w:w="53" w:type="dxa"/>
            </w:tcMar>
            <w:vAlign w:val="center"/>
          </w:tcPr>
          <w:p w14:paraId="16D4DDED">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服务方案</w:t>
            </w:r>
          </w:p>
          <w:p w14:paraId="3F42A5BF">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（满分</w:t>
            </w:r>
            <w:r>
              <w:rPr>
                <w:rFonts w:hint="eastAsia" w:ascii="Times New Roman" w:hAnsi="Times New Roman" w:eastAsia="宋体" w:cs="Times New Roman"/>
                <w:lang w:val="en-US" w:eastAsia="zh-CN"/>
              </w:rPr>
              <w:t>10</w:t>
            </w:r>
            <w:r>
              <w:rPr>
                <w:rFonts w:hint="default" w:ascii="Times New Roman" w:hAnsi="Times New Roman" w:eastAsia="宋体" w:cs="Times New Roman"/>
              </w:rPr>
              <w:t>分）</w:t>
            </w:r>
          </w:p>
        </w:tc>
        <w:tc>
          <w:tcPr>
            <w:tcW w:w="7303" w:type="dxa"/>
            <w:tcMar>
              <w:left w:w="53" w:type="dxa"/>
              <w:right w:w="53" w:type="dxa"/>
            </w:tcMar>
            <w:vAlign w:val="center"/>
          </w:tcPr>
          <w:p w14:paraId="36995A11">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根据供应商提供的本项目服务方案是否具有针对性、完整性、合理性、可行性进行综合评分。</w:t>
            </w:r>
          </w:p>
          <w:p w14:paraId="30F07DA8">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1.一档（</w:t>
            </w:r>
            <w:r>
              <w:rPr>
                <w:rFonts w:hint="eastAsia" w:ascii="Times New Roman" w:hAnsi="Times New Roman" w:eastAsia="宋体" w:cs="Times New Roman"/>
                <w:kern w:val="2"/>
                <w:sz w:val="21"/>
                <w:szCs w:val="20"/>
                <w:lang w:val="en-US" w:eastAsia="zh-CN" w:bidi="ar-SA"/>
              </w:rPr>
              <w:t>10</w:t>
            </w:r>
            <w:r>
              <w:rPr>
                <w:rFonts w:hint="default" w:ascii="Times New Roman" w:hAnsi="Times New Roman" w:eastAsia="宋体" w:cs="Times New Roman"/>
                <w:kern w:val="2"/>
                <w:sz w:val="21"/>
                <w:szCs w:val="20"/>
                <w:lang w:val="en-US" w:eastAsia="zh-CN" w:bidi="ar-SA"/>
              </w:rPr>
              <w:t>分）：方案非常符合本项目服务内容，服务方案完善具体，可行性强，得</w:t>
            </w:r>
            <w:r>
              <w:rPr>
                <w:rFonts w:hint="eastAsia" w:ascii="Times New Roman" w:hAnsi="Times New Roman" w:eastAsia="宋体" w:cs="Times New Roman"/>
                <w:kern w:val="2"/>
                <w:sz w:val="21"/>
                <w:szCs w:val="20"/>
                <w:lang w:val="en-US" w:eastAsia="zh-CN" w:bidi="ar-SA"/>
              </w:rPr>
              <w:t>10</w:t>
            </w:r>
            <w:r>
              <w:rPr>
                <w:rFonts w:hint="default" w:ascii="Times New Roman" w:hAnsi="Times New Roman" w:eastAsia="宋体" w:cs="Times New Roman"/>
                <w:kern w:val="2"/>
                <w:sz w:val="21"/>
                <w:szCs w:val="20"/>
                <w:lang w:val="en-US" w:eastAsia="zh-CN" w:bidi="ar-SA"/>
              </w:rPr>
              <w:t>分；</w:t>
            </w:r>
          </w:p>
          <w:p w14:paraId="280BA12F">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2.二档（</w:t>
            </w:r>
            <w:r>
              <w:rPr>
                <w:rFonts w:hint="eastAsia" w:ascii="Times New Roman" w:hAnsi="Times New Roman" w:eastAsia="宋体" w:cs="Times New Roman"/>
                <w:kern w:val="2"/>
                <w:sz w:val="21"/>
                <w:szCs w:val="20"/>
                <w:lang w:val="en-US" w:eastAsia="zh-CN" w:bidi="ar-SA"/>
              </w:rPr>
              <w:t>6</w:t>
            </w:r>
            <w:r>
              <w:rPr>
                <w:rFonts w:hint="default" w:ascii="Times New Roman" w:hAnsi="Times New Roman" w:eastAsia="宋体" w:cs="Times New Roman"/>
                <w:kern w:val="2"/>
                <w:sz w:val="21"/>
                <w:szCs w:val="20"/>
                <w:lang w:val="en-US" w:eastAsia="zh-CN" w:bidi="ar-SA"/>
              </w:rPr>
              <w:t>分）：方案基本符合本项目服务内容，服务方案基本完善，可行性较强，得</w:t>
            </w:r>
            <w:r>
              <w:rPr>
                <w:rFonts w:hint="eastAsia" w:ascii="Times New Roman" w:hAnsi="Times New Roman" w:eastAsia="宋体" w:cs="Times New Roman"/>
                <w:kern w:val="2"/>
                <w:sz w:val="21"/>
                <w:szCs w:val="20"/>
                <w:lang w:val="en-US" w:eastAsia="zh-CN" w:bidi="ar-SA"/>
              </w:rPr>
              <w:t>6</w:t>
            </w:r>
            <w:r>
              <w:rPr>
                <w:rFonts w:hint="default" w:ascii="Times New Roman" w:hAnsi="Times New Roman" w:eastAsia="宋体" w:cs="Times New Roman"/>
                <w:kern w:val="2"/>
                <w:sz w:val="21"/>
                <w:szCs w:val="20"/>
                <w:lang w:val="en-US" w:eastAsia="zh-CN" w:bidi="ar-SA"/>
              </w:rPr>
              <w:t>分；</w:t>
            </w:r>
          </w:p>
          <w:p w14:paraId="5C46F802">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3.三档（</w:t>
            </w:r>
            <w:r>
              <w:rPr>
                <w:rFonts w:hint="eastAsia" w:ascii="Times New Roman" w:hAnsi="Times New Roman" w:eastAsia="宋体" w:cs="Times New Roman"/>
                <w:kern w:val="2"/>
                <w:sz w:val="21"/>
                <w:szCs w:val="20"/>
                <w:lang w:val="en-US" w:eastAsia="zh-CN" w:bidi="ar-SA"/>
              </w:rPr>
              <w:t>4</w:t>
            </w:r>
            <w:r>
              <w:rPr>
                <w:rFonts w:hint="default" w:ascii="Times New Roman" w:hAnsi="Times New Roman" w:eastAsia="宋体" w:cs="Times New Roman"/>
                <w:kern w:val="2"/>
                <w:sz w:val="21"/>
                <w:szCs w:val="20"/>
                <w:lang w:val="en-US" w:eastAsia="zh-CN" w:bidi="ar-SA"/>
              </w:rPr>
              <w:t>分）：方案基本符合本项目服务内容，服务方案不够完善、可行性一般，得</w:t>
            </w:r>
            <w:r>
              <w:rPr>
                <w:rFonts w:hint="eastAsia" w:ascii="Times New Roman" w:hAnsi="Times New Roman" w:eastAsia="宋体" w:cs="Times New Roman"/>
                <w:kern w:val="2"/>
                <w:sz w:val="21"/>
                <w:szCs w:val="20"/>
                <w:lang w:val="en-US" w:eastAsia="zh-CN" w:bidi="ar-SA"/>
              </w:rPr>
              <w:t>4</w:t>
            </w:r>
            <w:r>
              <w:rPr>
                <w:rFonts w:hint="default" w:ascii="Times New Roman" w:hAnsi="Times New Roman" w:eastAsia="宋体" w:cs="Times New Roman"/>
                <w:kern w:val="2"/>
                <w:sz w:val="21"/>
                <w:szCs w:val="20"/>
                <w:lang w:val="en-US" w:eastAsia="zh-CN" w:bidi="ar-SA"/>
              </w:rPr>
              <w:t>分；</w:t>
            </w:r>
          </w:p>
          <w:p w14:paraId="252E9703">
            <w:pPr>
              <w:pStyle w:val="3"/>
              <w:widowControl/>
              <w:snapToGrid w:val="0"/>
              <w:spacing w:beforeAutospacing="0" w:afterAutospacing="0"/>
              <w:rPr>
                <w:rFonts w:hint="default" w:ascii="Times New Roman" w:hAnsi="Times New Roman" w:eastAsia="宋体" w:cs="Times New Roman"/>
              </w:rPr>
            </w:pPr>
            <w:r>
              <w:rPr>
                <w:rFonts w:hint="default" w:ascii="Times New Roman" w:hAnsi="Times New Roman" w:eastAsia="宋体" w:cs="Times New Roman"/>
                <w:kern w:val="2"/>
                <w:sz w:val="21"/>
                <w:szCs w:val="20"/>
                <w:lang w:val="en-US" w:eastAsia="zh-CN" w:bidi="ar-SA"/>
              </w:rPr>
              <w:t>4.四档（2分）：方案不符合本项目服务内容，服务方案不够具体，没有可行性，或没有这方面论述，得2分。</w:t>
            </w:r>
          </w:p>
        </w:tc>
      </w:tr>
      <w:tr w14:paraId="40BA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7" w:type="dxa"/>
            <w:tcMar>
              <w:left w:w="53" w:type="dxa"/>
              <w:right w:w="53" w:type="dxa"/>
            </w:tcMar>
            <w:vAlign w:val="center"/>
          </w:tcPr>
          <w:p w14:paraId="0B67A361">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2</w:t>
            </w:r>
          </w:p>
        </w:tc>
        <w:tc>
          <w:tcPr>
            <w:tcW w:w="762" w:type="dxa"/>
            <w:tcMar>
              <w:left w:w="53" w:type="dxa"/>
              <w:right w:w="53" w:type="dxa"/>
            </w:tcMar>
            <w:vAlign w:val="center"/>
          </w:tcPr>
          <w:p w14:paraId="641DFC68">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质量</w:t>
            </w:r>
            <w:r>
              <w:rPr>
                <w:rFonts w:hint="default" w:ascii="Times New Roman" w:hAnsi="Times New Roman" w:eastAsia="宋体" w:cs="Times New Roman"/>
                <w:lang w:eastAsia="zh-CN"/>
              </w:rPr>
              <w:t>控制</w:t>
            </w:r>
            <w:r>
              <w:rPr>
                <w:rFonts w:hint="default" w:ascii="Times New Roman" w:hAnsi="Times New Roman" w:eastAsia="宋体" w:cs="Times New Roman"/>
              </w:rPr>
              <w:t>方案（满分</w:t>
            </w:r>
            <w:r>
              <w:rPr>
                <w:rFonts w:hint="eastAsia" w:ascii="Times New Roman" w:hAnsi="Times New Roman" w:eastAsia="宋体" w:cs="Times New Roman"/>
                <w:lang w:val="en-US" w:eastAsia="zh-CN"/>
              </w:rPr>
              <w:t>5</w:t>
            </w:r>
            <w:r>
              <w:rPr>
                <w:rFonts w:hint="default" w:ascii="Times New Roman" w:hAnsi="Times New Roman" w:eastAsia="宋体" w:cs="Times New Roman"/>
              </w:rPr>
              <w:t>分）</w:t>
            </w:r>
          </w:p>
        </w:tc>
        <w:tc>
          <w:tcPr>
            <w:tcW w:w="7303" w:type="dxa"/>
            <w:tcMar>
              <w:left w:w="53" w:type="dxa"/>
              <w:right w:w="53" w:type="dxa"/>
            </w:tcMar>
            <w:vAlign w:val="center"/>
          </w:tcPr>
          <w:p w14:paraId="7ACE078A">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供应商提供本项目相关质量控制方案。</w:t>
            </w:r>
          </w:p>
          <w:p w14:paraId="3CBA722E">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1.一档（</w:t>
            </w:r>
            <w:r>
              <w:rPr>
                <w:rFonts w:hint="eastAsia" w:ascii="Times New Roman" w:hAnsi="Times New Roman" w:eastAsia="宋体" w:cs="Times New Roman"/>
                <w:kern w:val="2"/>
                <w:sz w:val="21"/>
                <w:szCs w:val="20"/>
                <w:lang w:val="en-US" w:eastAsia="zh-CN" w:bidi="ar-SA"/>
              </w:rPr>
              <w:t>5</w:t>
            </w:r>
            <w:r>
              <w:rPr>
                <w:rFonts w:hint="default" w:ascii="Times New Roman" w:hAnsi="Times New Roman" w:eastAsia="宋体" w:cs="Times New Roman"/>
                <w:kern w:val="2"/>
                <w:sz w:val="21"/>
                <w:szCs w:val="20"/>
                <w:lang w:val="en-US" w:eastAsia="zh-CN" w:bidi="ar-SA"/>
              </w:rPr>
              <w:t>分）：质控方案完整、可操作性强，得</w:t>
            </w:r>
            <w:r>
              <w:rPr>
                <w:rFonts w:hint="eastAsia" w:ascii="Times New Roman" w:hAnsi="Times New Roman" w:eastAsia="宋体" w:cs="Times New Roman"/>
                <w:kern w:val="2"/>
                <w:sz w:val="21"/>
                <w:szCs w:val="20"/>
                <w:lang w:val="en-US" w:eastAsia="zh-CN" w:bidi="ar-SA"/>
              </w:rPr>
              <w:t>5</w:t>
            </w:r>
            <w:r>
              <w:rPr>
                <w:rFonts w:hint="default" w:ascii="Times New Roman" w:hAnsi="Times New Roman" w:eastAsia="宋体" w:cs="Times New Roman"/>
                <w:kern w:val="2"/>
                <w:sz w:val="21"/>
                <w:szCs w:val="20"/>
                <w:lang w:val="en-US" w:eastAsia="zh-CN" w:bidi="ar-SA"/>
              </w:rPr>
              <w:t>分；</w:t>
            </w:r>
          </w:p>
          <w:p w14:paraId="02799894">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2.二档（</w:t>
            </w:r>
            <w:r>
              <w:rPr>
                <w:rFonts w:hint="eastAsia" w:ascii="Times New Roman" w:hAnsi="Times New Roman" w:eastAsia="宋体" w:cs="Times New Roman"/>
                <w:kern w:val="2"/>
                <w:sz w:val="21"/>
                <w:szCs w:val="20"/>
                <w:lang w:val="en-US" w:eastAsia="zh-CN" w:bidi="ar-SA"/>
              </w:rPr>
              <w:t>3</w:t>
            </w:r>
            <w:r>
              <w:rPr>
                <w:rFonts w:hint="default" w:ascii="Times New Roman" w:hAnsi="Times New Roman" w:eastAsia="宋体" w:cs="Times New Roman"/>
                <w:kern w:val="2"/>
                <w:sz w:val="21"/>
                <w:szCs w:val="20"/>
                <w:lang w:val="en-US" w:eastAsia="zh-CN" w:bidi="ar-SA"/>
              </w:rPr>
              <w:t>分）：质控方案基本完整、可操作性较强，得</w:t>
            </w:r>
            <w:r>
              <w:rPr>
                <w:rFonts w:hint="eastAsia" w:ascii="Times New Roman" w:hAnsi="Times New Roman" w:eastAsia="宋体" w:cs="Times New Roman"/>
                <w:kern w:val="2"/>
                <w:sz w:val="21"/>
                <w:szCs w:val="20"/>
                <w:lang w:val="en-US" w:eastAsia="zh-CN" w:bidi="ar-SA"/>
              </w:rPr>
              <w:t>3</w:t>
            </w:r>
            <w:r>
              <w:rPr>
                <w:rFonts w:hint="default" w:ascii="Times New Roman" w:hAnsi="Times New Roman" w:eastAsia="宋体" w:cs="Times New Roman"/>
                <w:kern w:val="2"/>
                <w:sz w:val="21"/>
                <w:szCs w:val="20"/>
                <w:lang w:val="en-US" w:eastAsia="zh-CN" w:bidi="ar-SA"/>
              </w:rPr>
              <w:t>分；</w:t>
            </w:r>
          </w:p>
          <w:p w14:paraId="342BA006">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3.三档（</w:t>
            </w:r>
            <w:r>
              <w:rPr>
                <w:rFonts w:hint="eastAsia" w:ascii="Times New Roman" w:hAnsi="Times New Roman" w:eastAsia="宋体" w:cs="Times New Roman"/>
                <w:kern w:val="2"/>
                <w:sz w:val="21"/>
                <w:szCs w:val="20"/>
                <w:lang w:val="en-US" w:eastAsia="zh-CN" w:bidi="ar-SA"/>
              </w:rPr>
              <w:t>2</w:t>
            </w:r>
            <w:r>
              <w:rPr>
                <w:rFonts w:hint="default" w:ascii="Times New Roman" w:hAnsi="Times New Roman" w:eastAsia="宋体" w:cs="Times New Roman"/>
                <w:kern w:val="2"/>
                <w:sz w:val="21"/>
                <w:szCs w:val="20"/>
                <w:lang w:val="en-US" w:eastAsia="zh-CN" w:bidi="ar-SA"/>
              </w:rPr>
              <w:t>分）：质控方案不够完善、可操作性一般，得</w:t>
            </w:r>
            <w:r>
              <w:rPr>
                <w:rFonts w:hint="eastAsia" w:ascii="Times New Roman" w:hAnsi="Times New Roman" w:eastAsia="宋体" w:cs="Times New Roman"/>
                <w:kern w:val="2"/>
                <w:sz w:val="21"/>
                <w:szCs w:val="20"/>
                <w:lang w:val="en-US" w:eastAsia="zh-CN" w:bidi="ar-SA"/>
              </w:rPr>
              <w:t>2</w:t>
            </w:r>
            <w:r>
              <w:rPr>
                <w:rFonts w:hint="default" w:ascii="Times New Roman" w:hAnsi="Times New Roman" w:eastAsia="宋体" w:cs="Times New Roman"/>
                <w:kern w:val="2"/>
                <w:sz w:val="21"/>
                <w:szCs w:val="20"/>
                <w:lang w:val="en-US" w:eastAsia="zh-CN" w:bidi="ar-SA"/>
              </w:rPr>
              <w:t>分；</w:t>
            </w:r>
          </w:p>
          <w:p w14:paraId="59F51CEF">
            <w:pPr>
              <w:pStyle w:val="3"/>
              <w:widowControl/>
              <w:snapToGrid w:val="0"/>
              <w:spacing w:beforeAutospacing="0" w:afterAutospacing="0"/>
              <w:rPr>
                <w:rFonts w:hint="default" w:ascii="Times New Roman" w:hAnsi="Times New Roman" w:eastAsia="宋体" w:cs="Times New Roman"/>
              </w:rPr>
            </w:pPr>
            <w:r>
              <w:rPr>
                <w:rFonts w:hint="default" w:ascii="Times New Roman" w:hAnsi="Times New Roman" w:eastAsia="宋体" w:cs="Times New Roman"/>
                <w:kern w:val="2"/>
                <w:sz w:val="21"/>
                <w:szCs w:val="20"/>
                <w:lang w:val="en-US" w:eastAsia="zh-CN" w:bidi="ar-SA"/>
              </w:rPr>
              <w:t>4.四档（</w:t>
            </w:r>
            <w:r>
              <w:rPr>
                <w:rFonts w:hint="eastAsia" w:ascii="Times New Roman" w:hAnsi="Times New Roman" w:eastAsia="宋体" w:cs="Times New Roman"/>
                <w:kern w:val="2"/>
                <w:sz w:val="21"/>
                <w:szCs w:val="20"/>
                <w:lang w:val="en-US" w:eastAsia="zh-CN" w:bidi="ar-SA"/>
              </w:rPr>
              <w:t>1</w:t>
            </w:r>
            <w:r>
              <w:rPr>
                <w:rFonts w:hint="default" w:ascii="Times New Roman" w:hAnsi="Times New Roman" w:eastAsia="宋体" w:cs="Times New Roman"/>
                <w:kern w:val="2"/>
                <w:sz w:val="21"/>
                <w:szCs w:val="20"/>
                <w:lang w:val="en-US" w:eastAsia="zh-CN" w:bidi="ar-SA"/>
              </w:rPr>
              <w:t>分）：质控方案不够具体、没有可行性，或没有相关论述，得</w:t>
            </w:r>
            <w:r>
              <w:rPr>
                <w:rFonts w:hint="eastAsia" w:ascii="Times New Roman" w:hAnsi="Times New Roman" w:eastAsia="宋体" w:cs="Times New Roman"/>
                <w:kern w:val="2"/>
                <w:sz w:val="21"/>
                <w:szCs w:val="20"/>
                <w:lang w:val="en-US" w:eastAsia="zh-CN" w:bidi="ar-SA"/>
              </w:rPr>
              <w:t>1</w:t>
            </w:r>
            <w:r>
              <w:rPr>
                <w:rFonts w:hint="default" w:ascii="Times New Roman" w:hAnsi="Times New Roman" w:eastAsia="宋体" w:cs="Times New Roman"/>
                <w:kern w:val="2"/>
                <w:sz w:val="21"/>
                <w:szCs w:val="20"/>
                <w:lang w:val="en-US" w:eastAsia="zh-CN" w:bidi="ar-SA"/>
              </w:rPr>
              <w:t>分。</w:t>
            </w:r>
          </w:p>
        </w:tc>
      </w:tr>
      <w:tr w14:paraId="4B1F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2" w:type="dxa"/>
            <w:gridSpan w:val="3"/>
            <w:tcMar>
              <w:left w:w="53" w:type="dxa"/>
              <w:right w:w="53" w:type="dxa"/>
            </w:tcMar>
            <w:vAlign w:val="center"/>
          </w:tcPr>
          <w:p w14:paraId="1889B0AC">
            <w:pPr>
              <w:pStyle w:val="3"/>
              <w:widowControl/>
              <w:snapToGrid w:val="0"/>
              <w:spacing w:beforeAutospacing="0" w:afterAutospacing="0"/>
              <w:jc w:val="center"/>
              <w:rPr>
                <w:rFonts w:hint="default" w:ascii="Times New Roman" w:hAnsi="Times New Roman" w:eastAsia="宋体" w:cs="Times New Roman"/>
              </w:rPr>
            </w:pPr>
            <w:r>
              <w:rPr>
                <w:rFonts w:hint="default" w:ascii="方正黑体_GBK" w:hAnsi="方正黑体_GBK" w:eastAsia="方正黑体_GBK" w:cs="方正黑体_GBK"/>
              </w:rPr>
              <w:t>（三）技术支持部分（满分30分）</w:t>
            </w:r>
          </w:p>
        </w:tc>
      </w:tr>
      <w:tr w14:paraId="6F9C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7" w:type="dxa"/>
            <w:tcMar>
              <w:left w:w="53" w:type="dxa"/>
              <w:right w:w="53" w:type="dxa"/>
            </w:tcMar>
            <w:vAlign w:val="center"/>
          </w:tcPr>
          <w:p w14:paraId="47F09D8C">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3</w:t>
            </w:r>
          </w:p>
        </w:tc>
        <w:tc>
          <w:tcPr>
            <w:tcW w:w="762" w:type="dxa"/>
            <w:tcMar>
              <w:left w:w="53" w:type="dxa"/>
              <w:right w:w="53" w:type="dxa"/>
            </w:tcMar>
            <w:vAlign w:val="center"/>
          </w:tcPr>
          <w:p w14:paraId="424F0528">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人员设置（满分25分）</w:t>
            </w:r>
          </w:p>
        </w:tc>
        <w:tc>
          <w:tcPr>
            <w:tcW w:w="7303" w:type="dxa"/>
            <w:tcMar>
              <w:left w:w="53" w:type="dxa"/>
              <w:right w:w="53" w:type="dxa"/>
            </w:tcMar>
            <w:vAlign w:val="center"/>
          </w:tcPr>
          <w:p w14:paraId="195208FE">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1.项目负责人具有环境保护类正高级职称证书，得2分。</w:t>
            </w:r>
          </w:p>
          <w:p w14:paraId="25F95602">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2.为本项目投入的其他团队成员（项目负责人除外）：提供1人环境保护类正高级工程师职称得2分，提供1人环境保护类高级工程师职称得1分，高级职称以上得分最高得18分；提供1人环境保护类中级工程师职称得0.5分，最高得5分。</w:t>
            </w:r>
          </w:p>
          <w:p w14:paraId="22BA2554">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备注：同一人员不重复计分。提供相关人员证书复印件及2026年任一月社保缴纳证明材料复印件，并在复印件上加盖投标人公章，没有证明材料不得分。</w:t>
            </w:r>
          </w:p>
        </w:tc>
      </w:tr>
      <w:tr w14:paraId="22C6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7" w:type="dxa"/>
            <w:tcMar>
              <w:left w:w="53" w:type="dxa"/>
              <w:right w:w="53" w:type="dxa"/>
            </w:tcMar>
            <w:vAlign w:val="center"/>
          </w:tcPr>
          <w:p w14:paraId="09F68AFD">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4</w:t>
            </w:r>
          </w:p>
        </w:tc>
        <w:tc>
          <w:tcPr>
            <w:tcW w:w="762" w:type="dxa"/>
            <w:tcMar>
              <w:left w:w="53" w:type="dxa"/>
              <w:right w:w="53" w:type="dxa"/>
            </w:tcMar>
            <w:vAlign w:val="center"/>
          </w:tcPr>
          <w:p w14:paraId="20333778">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仪器配备（满分5分）</w:t>
            </w:r>
          </w:p>
        </w:tc>
        <w:tc>
          <w:tcPr>
            <w:tcW w:w="7303" w:type="dxa"/>
            <w:tcMar>
              <w:left w:w="53" w:type="dxa"/>
              <w:right w:w="53" w:type="dxa"/>
            </w:tcMar>
            <w:vAlign w:val="center"/>
          </w:tcPr>
          <w:p w14:paraId="4AE1D6CB">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具备监测所涉的各类监测仪器设备：</w:t>
            </w:r>
          </w:p>
          <w:p w14:paraId="0E4FFED0">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1、液相色谱-三重四极杆质谱，</w:t>
            </w:r>
            <w:r>
              <w:rPr>
                <w:rFonts w:hint="eastAsia" w:ascii="Times New Roman" w:hAnsi="Times New Roman" w:eastAsia="宋体" w:cs="Times New Roman"/>
                <w:kern w:val="2"/>
                <w:sz w:val="21"/>
                <w:szCs w:val="20"/>
                <w:lang w:val="en-US" w:eastAsia="zh-CN" w:bidi="ar-SA"/>
              </w:rPr>
              <w:t>3</w:t>
            </w:r>
            <w:r>
              <w:rPr>
                <w:rFonts w:hint="default" w:ascii="Times New Roman" w:hAnsi="Times New Roman" w:eastAsia="宋体" w:cs="Times New Roman"/>
                <w:kern w:val="2"/>
                <w:sz w:val="21"/>
                <w:szCs w:val="20"/>
                <w:lang w:val="en-US" w:eastAsia="zh-CN" w:bidi="ar-SA"/>
              </w:rPr>
              <w:t>分；</w:t>
            </w:r>
          </w:p>
          <w:p w14:paraId="28CDC740">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2、气相色谱-质谱</w:t>
            </w:r>
            <w:r>
              <w:rPr>
                <w:rFonts w:hint="eastAsia" w:ascii="Times New Roman" w:hAnsi="Times New Roman" w:eastAsia="宋体" w:cs="Times New Roman"/>
                <w:kern w:val="2"/>
                <w:sz w:val="21"/>
                <w:szCs w:val="20"/>
                <w:lang w:val="en-US" w:eastAsia="zh-CN" w:bidi="ar-SA"/>
              </w:rPr>
              <w:t>联用仪</w:t>
            </w:r>
            <w:r>
              <w:rPr>
                <w:rFonts w:hint="default" w:ascii="Times New Roman" w:hAnsi="Times New Roman" w:eastAsia="宋体" w:cs="Times New Roman"/>
                <w:kern w:val="2"/>
                <w:sz w:val="21"/>
                <w:szCs w:val="20"/>
                <w:lang w:val="en-US" w:eastAsia="zh-CN" w:bidi="ar-SA"/>
              </w:rPr>
              <w:t>，</w:t>
            </w:r>
            <w:r>
              <w:rPr>
                <w:rFonts w:hint="eastAsia" w:ascii="Times New Roman" w:hAnsi="Times New Roman" w:eastAsia="宋体" w:cs="Times New Roman"/>
                <w:kern w:val="2"/>
                <w:sz w:val="21"/>
                <w:szCs w:val="20"/>
                <w:lang w:val="en-US" w:eastAsia="zh-CN" w:bidi="ar-SA"/>
              </w:rPr>
              <w:t>2</w:t>
            </w:r>
            <w:r>
              <w:rPr>
                <w:rFonts w:hint="default" w:ascii="Times New Roman" w:hAnsi="Times New Roman" w:eastAsia="宋体" w:cs="Times New Roman"/>
                <w:kern w:val="2"/>
                <w:sz w:val="21"/>
                <w:szCs w:val="20"/>
                <w:lang w:val="en-US" w:eastAsia="zh-CN" w:bidi="ar-SA"/>
              </w:rPr>
              <w:t>分。</w:t>
            </w:r>
          </w:p>
          <w:p w14:paraId="32AE702E">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备注：提供设备当年检定/校准证书。</w:t>
            </w:r>
          </w:p>
        </w:tc>
      </w:tr>
      <w:tr w14:paraId="1012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2" w:type="dxa"/>
            <w:gridSpan w:val="3"/>
            <w:tcMar>
              <w:left w:w="53" w:type="dxa"/>
              <w:right w:w="53" w:type="dxa"/>
            </w:tcMar>
            <w:vAlign w:val="center"/>
          </w:tcPr>
          <w:p w14:paraId="641538A9">
            <w:pPr>
              <w:pStyle w:val="3"/>
              <w:widowControl/>
              <w:snapToGrid w:val="0"/>
              <w:spacing w:beforeAutospacing="0" w:afterAutospacing="0"/>
              <w:jc w:val="center"/>
              <w:rPr>
                <w:rFonts w:hint="default" w:ascii="Times New Roman" w:hAnsi="Times New Roman" w:cs="Times New Roman"/>
              </w:rPr>
            </w:pPr>
            <w:r>
              <w:rPr>
                <w:rFonts w:hint="default" w:ascii="方正黑体_GBK" w:hAnsi="方正黑体_GBK" w:eastAsia="方正黑体_GBK" w:cs="方正黑体_GBK"/>
              </w:rPr>
              <w:t>（四）商务部分（满分</w:t>
            </w:r>
            <w:r>
              <w:rPr>
                <w:rFonts w:hint="eastAsia" w:ascii="方正黑体_GBK" w:hAnsi="方正黑体_GBK" w:eastAsia="方正黑体_GBK" w:cs="方正黑体_GBK"/>
                <w:lang w:val="en-US" w:eastAsia="zh-CN"/>
              </w:rPr>
              <w:t>3</w:t>
            </w:r>
            <w:r>
              <w:rPr>
                <w:rFonts w:hint="default" w:ascii="方正黑体_GBK" w:hAnsi="方正黑体_GBK" w:eastAsia="方正黑体_GBK" w:cs="方正黑体_GBK"/>
              </w:rPr>
              <w:t>5分）</w:t>
            </w:r>
          </w:p>
        </w:tc>
      </w:tr>
      <w:tr w14:paraId="3BA7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7" w:type="dxa"/>
            <w:tcMar>
              <w:left w:w="53" w:type="dxa"/>
              <w:right w:w="53" w:type="dxa"/>
            </w:tcMar>
            <w:vAlign w:val="center"/>
          </w:tcPr>
          <w:p w14:paraId="299C7326">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1</w:t>
            </w:r>
          </w:p>
        </w:tc>
        <w:tc>
          <w:tcPr>
            <w:tcW w:w="762" w:type="dxa"/>
            <w:tcMar>
              <w:left w:w="53" w:type="dxa"/>
              <w:right w:w="53" w:type="dxa"/>
            </w:tcMar>
            <w:vAlign w:val="center"/>
          </w:tcPr>
          <w:p w14:paraId="5123FD64">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综合实力（满分20</w:t>
            </w:r>
          </w:p>
          <w:p w14:paraId="0DED055E">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分）</w:t>
            </w:r>
          </w:p>
        </w:tc>
        <w:tc>
          <w:tcPr>
            <w:tcW w:w="7303" w:type="dxa"/>
            <w:tcMar>
              <w:left w:w="53" w:type="dxa"/>
              <w:right w:w="53" w:type="dxa"/>
            </w:tcMar>
            <w:vAlign w:val="center"/>
          </w:tcPr>
          <w:p w14:paraId="6994F698">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投标人具有监测分析新污染物能力的，且均包含《重点管控新污染物清单（2023年版）》（生态环境部令第28号）中包括的十四大类新污染物：PFOS类、PFOA类、十溴二苯醚、短链氯化石蜡、六氯丁二烯、五氯苯酚及其盐类和酯类、三氯杀螨醇、PFHxS类、得克隆及其顺式异构体和反式异构体、二氯甲烷、三氯甲烷、壬基酚、抗生素、已淘汰类（包括：六溴环十二烷、氯丹、灭蚁灵、六氯苯、滴滴涕、α-六氯环己烷、β-六氯环己烷、林丹、硫丹原药及其相关异构体、多氯联苯）。</w:t>
            </w:r>
          </w:p>
          <w:p w14:paraId="17D5AB8E">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1.能够对10个大类及以上新污染物开展规范监测分析，得20分；</w:t>
            </w:r>
          </w:p>
          <w:p w14:paraId="69518C63">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2.能够对7-9个大类新污染物开展规范监测分析，得15分；</w:t>
            </w:r>
          </w:p>
          <w:p w14:paraId="75703629">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3.能够对4-6个大类新污染物开展规范监测分析，得10分；</w:t>
            </w:r>
          </w:p>
          <w:p w14:paraId="36668E80">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4.能够对1-3个大类新污染物开展规范监测分析，得5分。</w:t>
            </w:r>
          </w:p>
          <w:p w14:paraId="6216ECCD">
            <w:pPr>
              <w:pStyle w:val="3"/>
              <w:widowControl/>
              <w:snapToGrid w:val="0"/>
              <w:spacing w:beforeAutospacing="0" w:afterAutospacing="0"/>
              <w:rPr>
                <w:rFonts w:hint="default" w:ascii="Times New Roman" w:hAnsi="Times New Roman" w:eastAsia="宋体" w:cs="Times New Roman"/>
              </w:rPr>
            </w:pPr>
            <w:r>
              <w:rPr>
                <w:rFonts w:hint="default" w:ascii="Times New Roman" w:hAnsi="Times New Roman" w:eastAsia="宋体" w:cs="Times New Roman"/>
                <w:kern w:val="2"/>
                <w:sz w:val="21"/>
                <w:szCs w:val="20"/>
                <w:lang w:val="en-US" w:eastAsia="zh-CN" w:bidi="ar-SA"/>
              </w:rPr>
              <w:t>备注：提供能够监测的指标类别、对应的分析仪器、对应的方法清单（格式自定），提供以上监测指标CMA资质认定证书复印件或方法验证报告复印件或能力验证证书复印件，以上资料需加盖投标人公章。</w:t>
            </w:r>
          </w:p>
        </w:tc>
      </w:tr>
      <w:tr w14:paraId="7727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47" w:type="dxa"/>
            <w:tcMar>
              <w:left w:w="53" w:type="dxa"/>
              <w:right w:w="53" w:type="dxa"/>
            </w:tcMar>
            <w:vAlign w:val="center"/>
          </w:tcPr>
          <w:p w14:paraId="682FE4DE">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2</w:t>
            </w:r>
          </w:p>
        </w:tc>
        <w:tc>
          <w:tcPr>
            <w:tcW w:w="762" w:type="dxa"/>
            <w:tcMar>
              <w:left w:w="53" w:type="dxa"/>
              <w:right w:w="53" w:type="dxa"/>
            </w:tcMar>
            <w:vAlign w:val="center"/>
          </w:tcPr>
          <w:p w14:paraId="75B1A386">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项目业绩</w:t>
            </w:r>
          </w:p>
          <w:p w14:paraId="1DDBE67B">
            <w:pPr>
              <w:pStyle w:val="3"/>
              <w:widowControl/>
              <w:snapToGrid w:val="0"/>
              <w:spacing w:beforeAutospacing="0" w:afterAutospacing="0"/>
              <w:jc w:val="center"/>
              <w:rPr>
                <w:rFonts w:hint="default" w:ascii="Times New Roman" w:hAnsi="Times New Roman" w:eastAsia="宋体" w:cs="Times New Roman"/>
              </w:rPr>
            </w:pPr>
            <w:r>
              <w:rPr>
                <w:rFonts w:hint="default" w:ascii="Times New Roman" w:hAnsi="Times New Roman" w:eastAsia="宋体" w:cs="Times New Roman"/>
              </w:rPr>
              <w:t>（满分15分）</w:t>
            </w:r>
          </w:p>
        </w:tc>
        <w:tc>
          <w:tcPr>
            <w:tcW w:w="7303" w:type="dxa"/>
            <w:tcMar>
              <w:left w:w="53" w:type="dxa"/>
              <w:right w:w="53" w:type="dxa"/>
            </w:tcMar>
            <w:vAlign w:val="center"/>
          </w:tcPr>
          <w:p w14:paraId="6606E3F7">
            <w:pPr>
              <w:pStyle w:val="3"/>
              <w:widowControl/>
              <w:snapToGrid w:val="0"/>
              <w:spacing w:beforeAutospacing="0" w:afterAutospacing="0"/>
              <w:rPr>
                <w:rFonts w:hint="default" w:ascii="Times New Roman" w:hAnsi="Times New Roman" w:eastAsia="宋体" w:cs="Times New Roman"/>
                <w:kern w:val="2"/>
                <w:sz w:val="21"/>
                <w:szCs w:val="20"/>
                <w:lang w:val="en-US" w:eastAsia="zh-CN" w:bidi="ar-SA"/>
              </w:rPr>
            </w:pPr>
            <w:r>
              <w:rPr>
                <w:rFonts w:hint="default" w:ascii="Times New Roman" w:hAnsi="Times New Roman" w:eastAsia="宋体" w:cs="Times New Roman"/>
                <w:kern w:val="2"/>
                <w:sz w:val="21"/>
                <w:szCs w:val="20"/>
                <w:lang w:val="en-US" w:eastAsia="zh-CN" w:bidi="ar-SA"/>
              </w:rPr>
              <w:t>投标人承担（牵头或独立承担）过项目包含新污染物调查或新污染物监测或新污染物环境风险评估或新污染物监测技术方法研究相关内容业绩的，提供一个得5分</w:t>
            </w:r>
          </w:p>
          <w:p w14:paraId="0F36C2A8">
            <w:pPr>
              <w:pStyle w:val="3"/>
              <w:widowControl/>
              <w:snapToGrid w:val="0"/>
              <w:spacing w:beforeAutospacing="0" w:afterAutospacing="0"/>
              <w:rPr>
                <w:rFonts w:hint="default" w:ascii="Times New Roman" w:hAnsi="Times New Roman" w:eastAsia="宋体" w:cs="Times New Roman"/>
              </w:rPr>
            </w:pPr>
            <w:r>
              <w:rPr>
                <w:rFonts w:hint="default" w:ascii="Times New Roman" w:hAnsi="Times New Roman" w:eastAsia="宋体" w:cs="Times New Roman"/>
                <w:kern w:val="2"/>
                <w:sz w:val="21"/>
                <w:szCs w:val="20"/>
                <w:lang w:val="en-US" w:eastAsia="zh-CN" w:bidi="ar-SA"/>
              </w:rPr>
              <w:t>备注：提供合同或验收意见或成果应用证明复印件并加盖投标人公章。</w:t>
            </w:r>
          </w:p>
        </w:tc>
      </w:tr>
    </w:tbl>
    <w:p w14:paraId="7F3745F9">
      <w:pPr>
        <w:rPr>
          <w:rFonts w:hint="default" w:ascii="Times New Roman" w:hAnsi="Times New Roman" w:cs="Times New Roman"/>
          <w:sz w:val="24"/>
        </w:rPr>
      </w:pPr>
    </w:p>
    <w:p w14:paraId="1C0E7AD6">
      <w:pPr>
        <w:rPr>
          <w:rFonts w:hint="default" w:ascii="Times New Roman" w:hAnsi="Times New Roman" w:eastAsia="黑体" w:cs="Times New Roman"/>
          <w:color w:val="000000"/>
          <w:sz w:val="24"/>
          <w:shd w:val="clear" w:color="auto" w:fill="FFFFFF"/>
        </w:rPr>
      </w:pPr>
    </w:p>
    <w:p w14:paraId="5115094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755B2"/>
    <w:rsid w:val="5BB755B2"/>
    <w:rsid w:val="65FE7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Normal (Web)"/>
    <w:basedOn w:val="1"/>
    <w:qFormat/>
    <w:uiPriority w:val="0"/>
    <w:pPr>
      <w:spacing w:beforeAutospacing="1" w:afterAutospacing="1"/>
      <w:jc w:val="left"/>
    </w:pPr>
    <w:rPr>
      <w:rFonts w:cs="Times New Roman"/>
      <w:kern w:val="0"/>
      <w:sz w:val="24"/>
    </w:rPr>
  </w:style>
  <w:style w:type="paragraph" w:styleId="4">
    <w:name w:val="Body Text First Indent"/>
    <w:basedOn w:val="2"/>
    <w:next w:val="2"/>
    <w:qFormat/>
    <w:uiPriority w:val="0"/>
    <w:pPr>
      <w:ind w:firstLine="420" w:firstLineChars="100"/>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列出段落11"/>
    <w:qFormat/>
    <w:uiPriority w:val="34"/>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2026-09-22T01:41:00Z</dcterms:created>
  <dc:creator>Dechen</dc:creator>
  <cp:lastModifiedBy>Dechen</cp:lastModifiedBy>
  <dcterms:modified xsi:type="dcterms:W3CDTF">2026-09-22T01:42:57Z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CDFDEDF9C6B24A93ADD84DED4061DF51_11</vt:lpwstr>
  </property>
  <property fmtid="{D5CDD505-2E9C-101B-9397-08002B2CF9AE}" pid="4" name="KSOTemplateDocerSaveRecord">
    <vt:lpwstr>eyJoZGlkIjoiNWIzMjMyMjQ0YTlhYTYxMmE0NDg3MGMzOWE5MGVmN2IiLCJ1c2VySWQiOiI3Njk1ODI5NTAifQ==</vt:lpwstr>
  </property>
</Properties>
</file>