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A44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468"/>
        <w:rPr>
          <w:rFonts w:hint="default" w:ascii="Times New Roman" w:hAnsi="Times New Roman" w:eastAsia="黑体" w:cs="Times New Roman"/>
          <w:sz w:val="30"/>
          <w:szCs w:val="30"/>
          <w:lang w:val="en-US" w:eastAsia="zh-CN"/>
        </w:rPr>
      </w:pPr>
      <w:bookmarkStart w:id="0" w:name="_GoBack"/>
      <w:bookmarkEnd w:id="0"/>
      <w:r>
        <w:rPr>
          <w:rFonts w:hint="eastAsia" w:ascii="黑体" w:hAnsi="黑体" w:eastAsia="黑体" w:cs="黑体"/>
          <w:sz w:val="30"/>
          <w:szCs w:val="30"/>
        </w:rPr>
        <w:t>附件</w:t>
      </w:r>
      <w:r>
        <w:rPr>
          <w:rFonts w:hint="eastAsia" w:ascii="黑体" w:hAnsi="黑体" w:eastAsia="黑体" w:cs="黑体"/>
          <w:sz w:val="30"/>
          <w:szCs w:val="30"/>
          <w:lang w:val="en-US" w:eastAsia="zh-CN"/>
        </w:rPr>
        <w:t>2</w:t>
      </w:r>
      <w:r>
        <w:rPr>
          <w:rFonts w:hint="default" w:ascii="Times New Roman" w:hAnsi="Times New Roman" w:eastAsia="黑体" w:cs="Times New Roman"/>
          <w:sz w:val="30"/>
          <w:szCs w:val="30"/>
          <w:lang w:val="en-US" w:eastAsia="zh-CN"/>
        </w:rPr>
        <w:t>：</w:t>
      </w:r>
    </w:p>
    <w:p w14:paraId="121048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792" w:right="0"/>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b w:val="0"/>
          <w:bCs w:val="0"/>
          <w:sz w:val="44"/>
          <w:szCs w:val="44"/>
          <w:lang w:val="en-US" w:eastAsia="zh-CN"/>
        </w:rPr>
        <w:t>2026年西藏自治区生态环境保护综合行政执法能力提升及技能比武竞赛活动</w:t>
      </w:r>
      <w:r>
        <w:rPr>
          <w:rFonts w:hint="default" w:ascii="Times New Roman" w:hAnsi="Times New Roman" w:eastAsia="方正小标宋_GBK" w:cs="Times New Roman"/>
          <w:sz w:val="44"/>
          <w:szCs w:val="44"/>
        </w:rPr>
        <w:t>遴选综合评分表</w:t>
      </w:r>
    </w:p>
    <w:p w14:paraId="0EC8F2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792" w:right="0"/>
        <w:jc w:val="center"/>
        <w:rPr>
          <w:rFonts w:hint="default" w:ascii="Times New Roman" w:hAnsi="Times New Roman" w:eastAsia="方正小标宋_GBK" w:cs="Times New Roman"/>
          <w:sz w:val="44"/>
          <w:szCs w:val="44"/>
        </w:rPr>
      </w:pPr>
    </w:p>
    <w:tbl>
      <w:tblPr>
        <w:tblStyle w:val="3"/>
        <w:tblW w:w="12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27"/>
        <w:gridCol w:w="878"/>
        <w:gridCol w:w="10280"/>
        <w:gridCol w:w="687"/>
      </w:tblGrid>
      <w:tr w14:paraId="35B5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jc w:val="center"/>
        </w:trPr>
        <w:tc>
          <w:tcPr>
            <w:tcW w:w="112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3DA2108E">
            <w:pPr>
              <w:pStyle w:val="5"/>
              <w:snapToGrid w:val="0"/>
              <w:spacing w:line="240" w:lineRule="auto"/>
              <w:ind w:left="0" w:leftChars="0" w:right="0" w:rightChars="0"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评分因素</w:t>
            </w:r>
          </w:p>
        </w:tc>
        <w:tc>
          <w:tcPr>
            <w:tcW w:w="87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6169AA7A">
            <w:pPr>
              <w:pStyle w:val="5"/>
              <w:snapToGrid w:val="0"/>
              <w:spacing w:line="240" w:lineRule="auto"/>
              <w:ind w:left="0" w:leftChars="0" w:right="0" w:rightChars="0"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分值</w:t>
            </w:r>
          </w:p>
        </w:tc>
        <w:tc>
          <w:tcPr>
            <w:tcW w:w="10281"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0F193EB3">
            <w:pPr>
              <w:pStyle w:val="5"/>
              <w:snapToGrid w:val="0"/>
              <w:spacing w:line="240" w:lineRule="auto"/>
              <w:ind w:left="0" w:leftChars="0" w:right="0" w:rightChars="0"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评分标准</w:t>
            </w:r>
          </w:p>
        </w:tc>
        <w:tc>
          <w:tcPr>
            <w:tcW w:w="68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2EF2F6E0">
            <w:pPr>
              <w:pStyle w:val="5"/>
              <w:snapToGrid w:val="0"/>
              <w:spacing w:line="240" w:lineRule="auto"/>
              <w:ind w:left="0" w:leftChars="0" w:right="0" w:rightChars="0"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得分</w:t>
            </w:r>
          </w:p>
        </w:tc>
      </w:tr>
      <w:tr w14:paraId="43A7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12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1AB9A5E3">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投标报价</w:t>
            </w:r>
          </w:p>
        </w:tc>
        <w:tc>
          <w:tcPr>
            <w:tcW w:w="87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50667C38">
            <w:pPr>
              <w:pStyle w:val="5"/>
              <w:snapToGrid w:val="0"/>
              <w:spacing w:line="240" w:lineRule="auto"/>
              <w:ind w:left="0" w:leftChars="0" w:right="0" w:rightChars="0" w:firstLine="0" w:firstLineChars="0"/>
              <w:jc w:val="righ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30分</w:t>
            </w:r>
          </w:p>
        </w:tc>
        <w:tc>
          <w:tcPr>
            <w:tcW w:w="10281"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27432D6B">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满足询价文件全部实质性要求，且单价合计投标价格最低的报价为评标基准价，其价格分为满分。其他投标人价格分计算公式：投标报价得分=（评标基准价÷投标报价）×价格权值（30%）×100，计算结果四舍五入保留小数点后两位。备注：依据《政府采购促进中小企业发展暂行办法》《关于促进残疾人就业政府采购政策的通知》，对小型、微型企业、残疾人福利性单位产品给予</w:t>
            </w:r>
            <w:r>
              <w:rPr>
                <w:rFonts w:hint="default" w:ascii="Times New Roman" w:hAnsi="Times New Roman" w:eastAsia="方正仿宋_GBK" w:cs="Times New Roman"/>
                <w:b/>
                <w:bCs/>
                <w:sz w:val="21"/>
                <w:szCs w:val="21"/>
              </w:rPr>
              <w:t>6%价格扣除</w:t>
            </w:r>
            <w:r>
              <w:rPr>
                <w:rFonts w:hint="default" w:ascii="Times New Roman" w:hAnsi="Times New Roman" w:eastAsia="方正仿宋_GBK" w:cs="Times New Roman"/>
                <w:sz w:val="21"/>
                <w:szCs w:val="21"/>
              </w:rPr>
              <w:t>，以扣除后价格参与评标；残疾人福利性单位同时属于小微企业的，不重复享受价格扣除政策。</w:t>
            </w:r>
          </w:p>
        </w:tc>
        <w:tc>
          <w:tcPr>
            <w:tcW w:w="68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1344BA83">
            <w:pPr>
              <w:pStyle w:val="5"/>
              <w:snapToGrid w:val="0"/>
              <w:spacing w:line="240" w:lineRule="auto"/>
              <w:ind w:left="0" w:leftChars="0" w:right="0" w:rightChars="0" w:firstLine="0" w:firstLineChars="0"/>
              <w:jc w:val="center"/>
              <w:rPr>
                <w:rFonts w:hint="default" w:ascii="Times New Roman" w:hAnsi="Times New Roman" w:cs="Times New Roman"/>
              </w:rPr>
            </w:pPr>
          </w:p>
        </w:tc>
      </w:tr>
      <w:tr w14:paraId="7185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12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7C074278">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技术方案</w:t>
            </w:r>
          </w:p>
        </w:tc>
        <w:tc>
          <w:tcPr>
            <w:tcW w:w="87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2A1B46EC">
            <w:pPr>
              <w:pStyle w:val="5"/>
              <w:snapToGrid w:val="0"/>
              <w:spacing w:line="240" w:lineRule="auto"/>
              <w:ind w:left="0" w:leftChars="0" w:right="0" w:rightChars="0" w:firstLine="0" w:firstLineChars="0"/>
              <w:jc w:val="righ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35分</w:t>
            </w:r>
          </w:p>
        </w:tc>
        <w:tc>
          <w:tcPr>
            <w:tcW w:w="10281"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62E7262C">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活动理解与分析（15分）①充分理解本次执法能力提升、技能比武的工作目标，精准把握西藏本地生态环境执法工作特点、活动实施重点难点，逻辑清晰、分析贴合实际：10‑15分；②基本理解活动目的，重难点分析完整性一般，贴合度不足：5‑9分；③理解偏差较大，未结合项目实际，内容空洞：0‑4分。</w:t>
            </w:r>
          </w:p>
        </w:tc>
        <w:tc>
          <w:tcPr>
            <w:tcW w:w="68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5F106EAE">
            <w:pPr>
              <w:pStyle w:val="5"/>
              <w:snapToGrid w:val="0"/>
              <w:spacing w:line="240" w:lineRule="auto"/>
              <w:ind w:left="0" w:leftChars="0" w:right="0" w:rightChars="0" w:firstLine="0" w:firstLineChars="0"/>
              <w:jc w:val="center"/>
              <w:rPr>
                <w:rFonts w:hint="default" w:ascii="Times New Roman" w:hAnsi="Times New Roman" w:cs="Times New Roman"/>
              </w:rPr>
            </w:pPr>
          </w:p>
        </w:tc>
      </w:tr>
      <w:tr w14:paraId="6A6D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12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3E5AA784">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p>
        </w:tc>
        <w:tc>
          <w:tcPr>
            <w:tcW w:w="87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593E9002">
            <w:pPr>
              <w:pStyle w:val="5"/>
              <w:snapToGrid w:val="0"/>
              <w:spacing w:line="240" w:lineRule="auto"/>
              <w:ind w:left="0" w:leftChars="0" w:right="0" w:rightChars="0" w:firstLine="0" w:firstLineChars="0"/>
              <w:jc w:val="right"/>
              <w:rPr>
                <w:rFonts w:hint="default" w:ascii="Times New Roman" w:hAnsi="Times New Roman" w:eastAsia="方正仿宋_GBK" w:cs="Times New Roman"/>
                <w:sz w:val="21"/>
                <w:szCs w:val="21"/>
              </w:rPr>
            </w:pPr>
          </w:p>
        </w:tc>
        <w:tc>
          <w:tcPr>
            <w:tcW w:w="10281"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6B2F52EF">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2）活动完整策划方案（15分）①课程设计贴合生态环境执法实务，竞赛流程完整、比武科目设置科学，时间节点安排周密合理，可落地性强：10‑15分；②课程、竞赛流程、科目、时间安排基本完整，但部分内容不够细化，可实施性一般：5‑9分；③方案内容简略，流程、科目、课程缺失较多，不具备可实施性：0‑4分。</w:t>
            </w:r>
          </w:p>
        </w:tc>
        <w:tc>
          <w:tcPr>
            <w:tcW w:w="68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40711154">
            <w:pPr>
              <w:pStyle w:val="5"/>
              <w:snapToGrid w:val="0"/>
              <w:spacing w:line="240" w:lineRule="auto"/>
              <w:ind w:left="0" w:leftChars="0" w:right="0" w:rightChars="0" w:firstLine="0" w:firstLineChars="0"/>
              <w:jc w:val="center"/>
              <w:rPr>
                <w:rFonts w:hint="default" w:ascii="Times New Roman" w:hAnsi="Times New Roman" w:cs="Times New Roman"/>
              </w:rPr>
            </w:pPr>
          </w:p>
        </w:tc>
      </w:tr>
      <w:tr w14:paraId="1F13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12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7D79FD75">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p>
        </w:tc>
        <w:tc>
          <w:tcPr>
            <w:tcW w:w="87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7DA5A791">
            <w:pPr>
              <w:pStyle w:val="5"/>
              <w:snapToGrid w:val="0"/>
              <w:spacing w:line="240" w:lineRule="auto"/>
              <w:ind w:left="0" w:leftChars="0" w:right="0" w:rightChars="0" w:firstLine="0" w:firstLineChars="0"/>
              <w:jc w:val="right"/>
              <w:rPr>
                <w:rFonts w:hint="default" w:ascii="Times New Roman" w:hAnsi="Times New Roman" w:eastAsia="方正仿宋_GBK" w:cs="Times New Roman"/>
                <w:sz w:val="21"/>
                <w:szCs w:val="21"/>
              </w:rPr>
            </w:pPr>
          </w:p>
        </w:tc>
        <w:tc>
          <w:tcPr>
            <w:tcW w:w="10281"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3E67BC17">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3）项目实施保障措施（5分）①场地布置方案详实，VR眼镜、线上答题设备等物资设备配置清单齐全；专家、工作人员配置充足，应急预案完善，覆盖现场突发状况、设备故障、人员保障等场景：4‑5分；②具备基础保障方案，物资、人员、应急内容有涉及，但细节不完善：2‑3分；③保障措施缺失或仅有简单文字描述，无具体落地举措：0‑1分。</w:t>
            </w:r>
          </w:p>
        </w:tc>
        <w:tc>
          <w:tcPr>
            <w:tcW w:w="68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7FB99CF3">
            <w:pPr>
              <w:pStyle w:val="5"/>
              <w:snapToGrid w:val="0"/>
              <w:spacing w:line="240" w:lineRule="auto"/>
              <w:ind w:left="0" w:leftChars="0" w:right="0" w:rightChars="0" w:firstLine="0" w:firstLineChars="0"/>
              <w:jc w:val="center"/>
              <w:rPr>
                <w:rFonts w:hint="default" w:ascii="Times New Roman" w:hAnsi="Times New Roman" w:cs="Times New Roman"/>
              </w:rPr>
            </w:pPr>
          </w:p>
        </w:tc>
      </w:tr>
      <w:tr w14:paraId="2CD0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12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56A38EAD">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团队实力</w:t>
            </w:r>
          </w:p>
        </w:tc>
        <w:tc>
          <w:tcPr>
            <w:tcW w:w="87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2F1B7B7F">
            <w:pPr>
              <w:pStyle w:val="5"/>
              <w:snapToGrid w:val="0"/>
              <w:spacing w:line="240" w:lineRule="auto"/>
              <w:ind w:left="0" w:leftChars="0" w:right="0" w:rightChars="0" w:firstLine="0" w:firstLineChars="0"/>
              <w:jc w:val="righ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20分</w:t>
            </w:r>
          </w:p>
        </w:tc>
        <w:tc>
          <w:tcPr>
            <w:tcW w:w="10281"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1AA8FBB3">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项目团队成员从业资质及项目经验（8分）①项目主要人员具备生态环境业务、大型比武竞赛组织相关工作经验，人员简历清晰，同类项目工作经历丰富：6‑8分；②团队人员具备基础项目组织经验，生态环境相关领域经验较少：3‑5分；③团队人员无相关组织实施经验，人员配置不匹配项目需求：0‑2分。</w:t>
            </w:r>
          </w:p>
        </w:tc>
        <w:tc>
          <w:tcPr>
            <w:tcW w:w="68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64D6B7C7">
            <w:pPr>
              <w:pStyle w:val="5"/>
              <w:snapToGrid w:val="0"/>
              <w:spacing w:line="240" w:lineRule="auto"/>
              <w:ind w:left="0" w:leftChars="0" w:right="0" w:rightChars="0" w:firstLine="0" w:firstLineChars="0"/>
              <w:jc w:val="center"/>
              <w:rPr>
                <w:rFonts w:hint="default" w:ascii="Times New Roman" w:hAnsi="Times New Roman" w:eastAsia="方正仿宋_GBK" w:cs="Times New Roman"/>
                <w:sz w:val="21"/>
                <w:szCs w:val="21"/>
              </w:rPr>
            </w:pPr>
          </w:p>
        </w:tc>
      </w:tr>
      <w:tr w14:paraId="57C4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12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32042049">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p>
        </w:tc>
        <w:tc>
          <w:tcPr>
            <w:tcW w:w="87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36545786">
            <w:pPr>
              <w:pStyle w:val="5"/>
              <w:snapToGrid w:val="0"/>
              <w:spacing w:line="240" w:lineRule="auto"/>
              <w:ind w:left="0" w:leftChars="0" w:right="0" w:rightChars="0" w:firstLine="0" w:firstLineChars="0"/>
              <w:jc w:val="right"/>
              <w:rPr>
                <w:rFonts w:hint="default" w:ascii="Times New Roman" w:hAnsi="Times New Roman" w:eastAsia="方正仿宋_GBK" w:cs="Times New Roman"/>
                <w:sz w:val="21"/>
                <w:szCs w:val="21"/>
              </w:rPr>
            </w:pPr>
          </w:p>
        </w:tc>
        <w:tc>
          <w:tcPr>
            <w:tcW w:w="10281"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16D08379">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（2）培训师资力量（7分）①师资库配备</w:t>
            </w:r>
            <w:r>
              <w:rPr>
                <w:rFonts w:hint="default" w:ascii="Times New Roman" w:hAnsi="Times New Roman" w:eastAsia="方正仿宋_GBK" w:cs="Times New Roman"/>
                <w:b/>
                <w:bCs/>
                <w:sz w:val="21"/>
                <w:szCs w:val="21"/>
              </w:rPr>
              <w:t>正高级专业技术人员5人及以上</w:t>
            </w:r>
            <w:r>
              <w:rPr>
                <w:rFonts w:hint="default" w:ascii="Times New Roman" w:hAnsi="Times New Roman" w:eastAsia="方正仿宋_GBK" w:cs="Times New Roman"/>
                <w:sz w:val="21"/>
                <w:szCs w:val="21"/>
              </w:rPr>
              <w:t>，同时配备生态环境执法实务专家，师资专业匹配本项目：5‑7分；②配备正高级3‑4人，具备部分执法业务专家，师资基本满足项目需求：2‑4分；③正高级专家不足3人，缺少生态环境执法方向专业师资：0‑1分。</w:t>
            </w:r>
          </w:p>
        </w:tc>
        <w:tc>
          <w:tcPr>
            <w:tcW w:w="68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776F4EF7">
            <w:pPr>
              <w:pStyle w:val="5"/>
              <w:snapToGrid w:val="0"/>
              <w:spacing w:line="240" w:lineRule="auto"/>
              <w:ind w:left="0" w:leftChars="0" w:right="0" w:rightChars="0" w:firstLine="0" w:firstLineChars="0"/>
              <w:jc w:val="center"/>
              <w:rPr>
                <w:rFonts w:hint="default" w:ascii="Times New Roman" w:hAnsi="Times New Roman" w:eastAsia="方正仿宋_GBK" w:cs="Times New Roman"/>
                <w:sz w:val="21"/>
                <w:szCs w:val="21"/>
              </w:rPr>
            </w:pPr>
          </w:p>
        </w:tc>
      </w:tr>
      <w:tr w14:paraId="7A66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12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0A65D8E5">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p>
        </w:tc>
        <w:tc>
          <w:tcPr>
            <w:tcW w:w="87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7DA57805">
            <w:pPr>
              <w:pStyle w:val="5"/>
              <w:snapToGrid w:val="0"/>
              <w:spacing w:line="240" w:lineRule="auto"/>
              <w:ind w:left="0" w:leftChars="0" w:right="0" w:rightChars="0" w:firstLine="0" w:firstLineChars="0"/>
              <w:jc w:val="right"/>
              <w:rPr>
                <w:rFonts w:hint="default" w:ascii="Times New Roman" w:hAnsi="Times New Roman" w:eastAsia="方正仿宋_GBK" w:cs="Times New Roman"/>
                <w:sz w:val="21"/>
                <w:szCs w:val="21"/>
              </w:rPr>
            </w:pPr>
          </w:p>
        </w:tc>
        <w:tc>
          <w:tcPr>
            <w:tcW w:w="10281"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439AF770">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3）团队组织架构与分工（5分）①项目组织架构完整，设置项目负责人、执行组、技术保障组、后勤应急组等岗位，岗位职责划分清晰，权责明确：4‑5分；②具备基础团队架构，分工有简单说明，但岗位划分不够细化：2‑3分；③无明确组织架构，岗位职责模糊混乱：0‑1分。</w:t>
            </w:r>
          </w:p>
        </w:tc>
        <w:tc>
          <w:tcPr>
            <w:tcW w:w="68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2F44D477">
            <w:pPr>
              <w:pStyle w:val="5"/>
              <w:snapToGrid w:val="0"/>
              <w:spacing w:line="240" w:lineRule="auto"/>
              <w:ind w:left="0" w:leftChars="0" w:right="0" w:rightChars="0" w:firstLine="0" w:firstLineChars="0"/>
              <w:jc w:val="center"/>
              <w:rPr>
                <w:rFonts w:hint="default" w:ascii="Times New Roman" w:hAnsi="Times New Roman" w:eastAsia="方正仿宋_GBK" w:cs="Times New Roman"/>
                <w:sz w:val="21"/>
                <w:szCs w:val="21"/>
              </w:rPr>
            </w:pPr>
          </w:p>
        </w:tc>
      </w:tr>
      <w:tr w14:paraId="45E2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12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3B3715A8">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业绩案例</w:t>
            </w:r>
          </w:p>
        </w:tc>
        <w:tc>
          <w:tcPr>
            <w:tcW w:w="87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1F6B6C4C">
            <w:pPr>
              <w:pStyle w:val="5"/>
              <w:snapToGrid w:val="0"/>
              <w:spacing w:line="240" w:lineRule="auto"/>
              <w:ind w:left="0" w:leftChars="0" w:right="0" w:rightChars="0" w:firstLine="0" w:firstLineChars="0"/>
              <w:jc w:val="righ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15分</w:t>
            </w:r>
          </w:p>
        </w:tc>
        <w:tc>
          <w:tcPr>
            <w:tcW w:w="10281"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27DAF3CB">
            <w:pPr>
              <w:pStyle w:val="5"/>
              <w:snapToGrid w:val="0"/>
              <w:spacing w:line="240" w:lineRule="auto"/>
              <w:ind w:left="0" w:leftChars="0" w:right="0" w:rightChars="0" w:firstLine="0" w:firstLineChars="0"/>
              <w:jc w:val="left"/>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近3年内（自2023年起）承担过生态环境执法大练兵、执法技能比武、生态环境系统大型培训竞赛类同类项目业绩；每提供1份有效业绩得5分，本项最高15分。注：业绩材料不全、项目不属于同类项目不计分。</w:t>
            </w:r>
          </w:p>
        </w:tc>
        <w:tc>
          <w:tcPr>
            <w:tcW w:w="68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195003EB">
            <w:pPr>
              <w:pStyle w:val="5"/>
              <w:snapToGrid w:val="0"/>
              <w:spacing w:line="240" w:lineRule="auto"/>
              <w:ind w:left="0" w:leftChars="0" w:right="0" w:rightChars="0" w:firstLine="0" w:firstLineChars="0"/>
              <w:jc w:val="center"/>
              <w:rPr>
                <w:rFonts w:hint="default" w:ascii="Times New Roman" w:hAnsi="Times New Roman" w:eastAsia="方正仿宋_GBK" w:cs="Times New Roman"/>
                <w:sz w:val="21"/>
                <w:szCs w:val="21"/>
              </w:rPr>
            </w:pPr>
          </w:p>
        </w:tc>
      </w:tr>
      <w:tr w14:paraId="5FB0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112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31EE6608">
            <w:pPr>
              <w:pStyle w:val="5"/>
              <w:snapToGrid w:val="0"/>
              <w:spacing w:line="240" w:lineRule="auto"/>
              <w:ind w:left="0" w:leftChars="0" w:right="0" w:rightChars="0" w:firstLine="0" w:firstLineChars="0"/>
              <w:jc w:val="left"/>
              <w:rPr>
                <w:rFonts w:hint="default" w:ascii="Times New Roman" w:hAnsi="Times New Roman" w:cs="Times New Roman"/>
              </w:rPr>
            </w:pPr>
            <w:r>
              <w:rPr>
                <w:rFonts w:hint="default" w:ascii="Times New Roman" w:hAnsi="Times New Roman" w:cs="Times New Roman"/>
                <w:b/>
                <w:bCs/>
              </w:rPr>
              <w:t>总分</w:t>
            </w:r>
          </w:p>
        </w:tc>
        <w:tc>
          <w:tcPr>
            <w:tcW w:w="87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17FDF16E">
            <w:pPr>
              <w:pStyle w:val="5"/>
              <w:snapToGrid w:val="0"/>
              <w:spacing w:line="240" w:lineRule="auto"/>
              <w:ind w:left="0" w:leftChars="0" w:right="0" w:rightChars="0" w:firstLine="0" w:firstLineChars="0"/>
              <w:jc w:val="right"/>
              <w:rPr>
                <w:rFonts w:hint="default" w:ascii="Times New Roman" w:hAnsi="Times New Roman" w:cs="Times New Roman"/>
              </w:rPr>
            </w:pPr>
            <w:r>
              <w:rPr>
                <w:rFonts w:hint="default" w:ascii="Times New Roman" w:hAnsi="Times New Roman" w:cs="Times New Roman"/>
                <w:b/>
                <w:bCs/>
              </w:rPr>
              <w:t>100分</w:t>
            </w:r>
          </w:p>
        </w:tc>
        <w:tc>
          <w:tcPr>
            <w:tcW w:w="10281"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09366F3B">
            <w:pPr>
              <w:pStyle w:val="5"/>
              <w:snapToGrid w:val="0"/>
              <w:spacing w:line="240" w:lineRule="auto"/>
              <w:ind w:left="0" w:leftChars="0" w:right="0" w:rightChars="0" w:firstLine="0" w:firstLineChars="0"/>
              <w:jc w:val="left"/>
              <w:rPr>
                <w:rFonts w:hint="default" w:ascii="Times New Roman" w:hAnsi="Times New Roman" w:cs="Times New Roman"/>
              </w:rPr>
            </w:pPr>
            <w:r>
              <w:rPr>
                <w:rFonts w:hint="default" w:ascii="Times New Roman" w:hAnsi="Times New Roman" w:cs="Times New Roman"/>
              </w:rPr>
              <w:t>——</w:t>
            </w:r>
          </w:p>
        </w:tc>
        <w:tc>
          <w:tcPr>
            <w:tcW w:w="68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vAlign w:val="center"/>
          </w:tcPr>
          <w:p w14:paraId="62B69914">
            <w:pPr>
              <w:pStyle w:val="5"/>
              <w:snapToGrid w:val="0"/>
              <w:spacing w:line="240" w:lineRule="auto"/>
              <w:ind w:left="0" w:leftChars="0" w:right="0" w:rightChars="0" w:firstLine="0" w:firstLineChars="0"/>
              <w:jc w:val="center"/>
              <w:rPr>
                <w:rFonts w:hint="default" w:ascii="Times New Roman" w:hAnsi="Times New Roman" w:cs="Times New Roman"/>
              </w:rPr>
            </w:pPr>
          </w:p>
        </w:tc>
      </w:tr>
    </w:tbl>
    <w:p w14:paraId="0C9A1DA5"/>
    <w:sectPr>
      <w:pgSz w:w="16838" w:h="11906" w:orient="landscape"/>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261AB4"/>
    <w:rsid w:val="03B41345"/>
    <w:rsid w:val="2A261AB4"/>
    <w:rsid w:val="7E7D5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1201</Words>
  <Characters>1266</Characters>
  <Lines>0</Lines>
  <Paragraphs>0</Paragraphs>
  <TotalTime>1</TotalTime>
  <ScaleCrop>false</ScaleCrop>
  <LinksUpToDate>false</LinksUpToDate>
  <CharactersWithSpaces>1266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2026-09-07T09:05:00Z</dcterms:created>
  <dc:creator>多读书多睡觉</dc:creator>
  <cp:lastModifiedBy>Dechen</cp:lastModifiedBy>
  <dcterms:modified xsi:type="dcterms:W3CDTF">2026-09-07T09:39:58Z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476967071D5A40B6988646FBBDDD8F9A_13</vt:lpwstr>
  </property>
  <property fmtid="{D5CDD505-2E9C-101B-9397-08002B2CF9AE}" pid="4" name="KSOTemplateDocerSaveRecord">
    <vt:lpwstr>eyJoZGlkIjoiNzc0OWU4MDM3ZmUzMDZlZDQ3MTYzNGY2NDAzM2EwNjEiLCJ1c2VySWQiOiI0NDM0ODc0ODQifQ==</vt:lpwstr>
  </property>
</Properties>
</file>