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70BA">
      <w:pPr>
        <w:widowControl w:val="0"/>
        <w:tabs>
          <w:tab w:val="left" w:pos="0"/>
        </w:tabs>
        <w:adjustRightInd w:val="0"/>
        <w:snapToGrid w:val="0"/>
        <w:spacing w:line="600" w:lineRule="exact"/>
        <w:jc w:val="left"/>
        <w:rPr>
          <w:rFonts w:ascii="Times New Roman" w:hAnsi="Times New Roman"/>
          <w:color w:val="000000" w:themeColor="text1"/>
          <w:sz w:val="28"/>
          <w:szCs w:val="28"/>
          <w14:textFill>
            <w14:solidFill>
              <w14:schemeClr w14:val="tx1"/>
            </w14:solidFill>
          </w14:textFill>
        </w:rPr>
      </w:pPr>
      <w:bookmarkStart w:id="0" w:name="_GoBack"/>
      <w:bookmarkEnd w:id="0"/>
      <w:r>
        <w:rPr>
          <w:rFonts w:ascii="Times New Roman" w:hAnsi="Times New Roman" w:eastAsia="黑体"/>
          <w:color w:val="000000" w:themeColor="text1"/>
          <w:sz w:val="28"/>
          <w:szCs w:val="28"/>
          <w14:textFill>
            <w14:solidFill>
              <w14:schemeClr w14:val="tx1"/>
            </w14:solidFill>
          </w14:textFill>
        </w:rPr>
        <w:t>附件2</w:t>
      </w:r>
    </w:p>
    <w:p w14:paraId="1BA4A27F">
      <w:pPr>
        <w:tabs>
          <w:tab w:val="left" w:pos="0"/>
        </w:tabs>
        <w:adjustRightInd w:val="0"/>
        <w:snapToGrid w:val="0"/>
        <w:spacing w:line="600" w:lineRule="exact"/>
        <w:jc w:val="center"/>
        <w:outlineLvl w:val="0"/>
        <w:rPr>
          <w:rFonts w:ascii="Times New Roman" w:hAnsi="Times New Roman" w:eastAsia="方正小标宋简体"/>
          <w:sz w:val="36"/>
          <w:szCs w:val="36"/>
        </w:rPr>
      </w:pP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5</w:t>
      </w:r>
      <w:r>
        <w:rPr>
          <w:rFonts w:ascii="Times New Roman" w:hAnsi="Times New Roman" w:eastAsia="方正小标宋简体"/>
          <w:sz w:val="36"/>
          <w:szCs w:val="36"/>
        </w:rPr>
        <w:t>年空气自动监测站运维服务项目综合评分办法</w:t>
      </w:r>
    </w:p>
    <w:p w14:paraId="2A661CC2">
      <w:pPr>
        <w:tabs>
          <w:tab w:val="left" w:pos="0"/>
        </w:tabs>
        <w:adjustRightInd w:val="0"/>
        <w:snapToGrid w:val="0"/>
        <w:spacing w:line="320" w:lineRule="exact"/>
        <w:ind w:firstLine="420" w:firstLineChars="200"/>
        <w:rPr>
          <w:rFonts w:ascii="Times New Roman" w:hAnsi="Times New Roman" w:eastAsia="黑体"/>
          <w:szCs w:val="21"/>
        </w:rPr>
      </w:pPr>
    </w:p>
    <w:p w14:paraId="250312DD">
      <w:pPr>
        <w:adjustRightInd w:val="0"/>
        <w:snapToGrid w:val="0"/>
        <w:spacing w:line="560" w:lineRule="exact"/>
        <w:ind w:firstLine="565" w:firstLineChars="202"/>
        <w:outlineLvl w:val="0"/>
        <w:rPr>
          <w:rFonts w:ascii="Times New Roman" w:hAnsi="Times New Roman" w:eastAsia="黑体"/>
          <w:bCs/>
          <w:sz w:val="28"/>
          <w:szCs w:val="28"/>
        </w:rPr>
      </w:pPr>
      <w:r>
        <w:rPr>
          <w:rFonts w:ascii="Times New Roman" w:hAnsi="Times New Roman" w:eastAsia="黑体"/>
          <w:bCs/>
          <w:sz w:val="28"/>
          <w:szCs w:val="28"/>
        </w:rPr>
        <w:t>一、评审原则</w:t>
      </w:r>
    </w:p>
    <w:p w14:paraId="4796F723">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（一）评审小组构成：本项目的评审小组由采购单位组建，成员人数为三人以上（含三人）单数。</w:t>
      </w:r>
    </w:p>
    <w:p w14:paraId="6E1ABC50">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（二）评审依据：本评审办法和供应商提交的响应文件。</w:t>
      </w:r>
    </w:p>
    <w:p w14:paraId="11800E48">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（三）评审方法：综合评分法。</w:t>
      </w:r>
    </w:p>
    <w:p w14:paraId="178EC9AC">
      <w:pPr>
        <w:adjustRightInd w:val="0"/>
        <w:snapToGrid w:val="0"/>
        <w:spacing w:line="560" w:lineRule="exact"/>
        <w:ind w:firstLine="565" w:firstLineChars="202"/>
        <w:outlineLvl w:val="0"/>
        <w:rPr>
          <w:rFonts w:ascii="Times New Roman" w:hAnsi="Times New Roman" w:eastAsia="黑体"/>
          <w:bCs/>
          <w:sz w:val="28"/>
          <w:szCs w:val="28"/>
        </w:rPr>
      </w:pPr>
      <w:r>
        <w:rPr>
          <w:rFonts w:ascii="Times New Roman" w:hAnsi="Times New Roman" w:eastAsia="黑体"/>
          <w:bCs/>
          <w:sz w:val="28"/>
          <w:szCs w:val="28"/>
        </w:rPr>
        <w:t>二、评审方法</w:t>
      </w:r>
    </w:p>
    <w:p w14:paraId="1EE8B1CD">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供应商提交的报价及资格材料经初核符合要求的进入详评，评审小组将按本评审办法和响应文件为评定依据，采用百分制综合评分法：</w:t>
      </w:r>
    </w:p>
    <w:p w14:paraId="3593D114">
      <w:pPr>
        <w:adjustRightInd w:val="0"/>
        <w:snapToGrid w:val="0"/>
        <w:spacing w:line="560" w:lineRule="exact"/>
        <w:ind w:firstLine="560" w:firstLineChars="200"/>
        <w:outlineLvl w:val="1"/>
        <w:rPr>
          <w:rFonts w:ascii="Times New Roman" w:hAnsi="Times New Roman" w:eastAsia="楷体_GB2312"/>
          <w:color w:val="000000"/>
          <w:sz w:val="28"/>
          <w:szCs w:val="28"/>
        </w:rPr>
      </w:pPr>
      <w:r>
        <w:rPr>
          <w:rFonts w:ascii="Times New Roman" w:hAnsi="Times New Roman" w:eastAsia="楷体_GB2312"/>
          <w:color w:val="000000"/>
          <w:sz w:val="28"/>
          <w:szCs w:val="28"/>
        </w:rPr>
        <w:t>（一）分值分配表</w:t>
      </w:r>
    </w:p>
    <w:tbl>
      <w:tblPr>
        <w:tblStyle w:val="10"/>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3785"/>
        <w:gridCol w:w="3980"/>
      </w:tblGrid>
      <w:tr w14:paraId="1CF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5BED77D5">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序号</w:t>
            </w:r>
          </w:p>
        </w:tc>
        <w:tc>
          <w:tcPr>
            <w:tcW w:w="3785" w:type="dxa"/>
          </w:tcPr>
          <w:p w14:paraId="0B477A06">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评分因素</w:t>
            </w:r>
          </w:p>
        </w:tc>
        <w:tc>
          <w:tcPr>
            <w:tcW w:w="3980" w:type="dxa"/>
          </w:tcPr>
          <w:p w14:paraId="653B9C79">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分值分配</w:t>
            </w:r>
          </w:p>
        </w:tc>
      </w:tr>
      <w:tr w14:paraId="74FB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4E96052B">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3785" w:type="dxa"/>
          </w:tcPr>
          <w:p w14:paraId="5827AD14">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价格分</w:t>
            </w:r>
          </w:p>
        </w:tc>
        <w:tc>
          <w:tcPr>
            <w:tcW w:w="3980" w:type="dxa"/>
          </w:tcPr>
          <w:p w14:paraId="1C09B8A5">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r>
      <w:tr w14:paraId="3A31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382C62B4">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3785" w:type="dxa"/>
          </w:tcPr>
          <w:p w14:paraId="25181781">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技术分</w:t>
            </w:r>
          </w:p>
        </w:tc>
        <w:tc>
          <w:tcPr>
            <w:tcW w:w="3980" w:type="dxa"/>
          </w:tcPr>
          <w:p w14:paraId="75255E38">
            <w:pPr>
              <w:pStyle w:val="13"/>
              <w:widowControl w:val="0"/>
              <w:adjustRightInd w:val="0"/>
              <w:snapToGrid w:val="0"/>
              <w:spacing w:line="320" w:lineRule="exact"/>
              <w:ind w:firstLine="0" w:firstLineChars="0"/>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40</w:t>
            </w:r>
          </w:p>
        </w:tc>
      </w:tr>
      <w:tr w14:paraId="495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4BDB02A1">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3785" w:type="dxa"/>
          </w:tcPr>
          <w:p w14:paraId="558B4326">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技术支持分</w:t>
            </w:r>
          </w:p>
        </w:tc>
        <w:tc>
          <w:tcPr>
            <w:tcW w:w="3980" w:type="dxa"/>
          </w:tcPr>
          <w:p w14:paraId="5D199567">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r>
      <w:tr w14:paraId="2205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4E57DFD8">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3785" w:type="dxa"/>
          </w:tcPr>
          <w:p w14:paraId="54653571">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商务分</w:t>
            </w:r>
          </w:p>
        </w:tc>
        <w:tc>
          <w:tcPr>
            <w:tcW w:w="3980" w:type="dxa"/>
          </w:tcPr>
          <w:p w14:paraId="2FD6A9AA">
            <w:pPr>
              <w:pStyle w:val="13"/>
              <w:widowControl w:val="0"/>
              <w:adjustRightInd w:val="0"/>
              <w:snapToGrid w:val="0"/>
              <w:spacing w:line="320" w:lineRule="exact"/>
              <w:ind w:firstLine="0" w:firstLineChars="0"/>
              <w:jc w:val="center"/>
              <w:rPr>
                <w:rFonts w:hint="default" w:ascii="Times New Roman" w:hAnsi="Times New Roman" w:eastAsia="宋体" w:cs="Times New Roman"/>
                <w:color w:val="000000"/>
                <w:szCs w:val="21"/>
                <w:lang w:val="en-US"/>
              </w:rPr>
            </w:pPr>
            <w:r>
              <w:rPr>
                <w:rFonts w:hint="eastAsia" w:ascii="Times New Roman" w:hAnsi="Times New Roman" w:eastAsia="宋体" w:cs="Times New Roman"/>
                <w:color w:val="000000"/>
                <w:szCs w:val="21"/>
                <w:lang w:val="en-US" w:eastAsia="zh-CN"/>
              </w:rPr>
              <w:t>15</w:t>
            </w:r>
          </w:p>
        </w:tc>
      </w:tr>
      <w:tr w14:paraId="02AE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7BAFA636">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3785" w:type="dxa"/>
          </w:tcPr>
          <w:p w14:paraId="715712E7">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合计</w:t>
            </w:r>
          </w:p>
        </w:tc>
        <w:tc>
          <w:tcPr>
            <w:tcW w:w="3980" w:type="dxa"/>
          </w:tcPr>
          <w:p w14:paraId="65ECC960">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r>
    </w:tbl>
    <w:p w14:paraId="7AC72BC1">
      <w:pPr>
        <w:numPr>
          <w:ilvl w:val="0"/>
          <w:numId w:val="2"/>
        </w:numPr>
        <w:adjustRightInd w:val="0"/>
        <w:snapToGrid w:val="0"/>
        <w:spacing w:line="560" w:lineRule="exact"/>
        <w:ind w:firstLine="560" w:firstLineChars="200"/>
        <w:outlineLvl w:val="1"/>
        <w:rPr>
          <w:rFonts w:ascii="Times New Roman" w:hAnsi="Times New Roman" w:eastAsia="楷体_GB2312"/>
          <w:color w:val="000000"/>
          <w:sz w:val="28"/>
          <w:szCs w:val="28"/>
        </w:rPr>
      </w:pPr>
      <w:r>
        <w:rPr>
          <w:rFonts w:ascii="Times New Roman" w:hAnsi="Times New Roman" w:eastAsia="楷体_GB2312"/>
          <w:color w:val="000000"/>
          <w:sz w:val="28"/>
          <w:szCs w:val="28"/>
        </w:rPr>
        <w:t>评分细则（按四舍五入取至百分位）</w:t>
      </w:r>
    </w:p>
    <w:p w14:paraId="14F73A7B">
      <w:pPr>
        <w:pStyle w:val="2"/>
        <w:rPr>
          <w:rFonts w:ascii="Times New Roman" w:hAnsi="Times New Roman"/>
        </w:rPr>
      </w:pPr>
    </w:p>
    <w:p w14:paraId="2FEF2EC2">
      <w:pPr>
        <w:rPr>
          <w:rFonts w:ascii="Times New Roman" w:hAnsi="Times New Roman"/>
        </w:rPr>
      </w:pPr>
    </w:p>
    <w:p w14:paraId="444FB06D">
      <w:pPr>
        <w:pStyle w:val="2"/>
        <w:rPr>
          <w:rFonts w:ascii="Times New Roman" w:hAnsi="Times New Roman"/>
        </w:rPr>
      </w:pPr>
    </w:p>
    <w:p w14:paraId="414DE6CC">
      <w:pPr>
        <w:rPr>
          <w:rFonts w:ascii="Times New Roman" w:hAnsi="Times New Roman"/>
        </w:rPr>
      </w:pPr>
    </w:p>
    <w:p w14:paraId="448F77BE">
      <w:pPr>
        <w:pStyle w:val="2"/>
        <w:rPr>
          <w:rFonts w:ascii="Times New Roman" w:hAnsi="Times New Roman"/>
        </w:rPr>
      </w:pPr>
    </w:p>
    <w:p w14:paraId="223354F3">
      <w:pPr>
        <w:rPr>
          <w:rFonts w:ascii="Times New Roman" w:hAnsi="Times New Roman"/>
        </w:rPr>
      </w:pPr>
    </w:p>
    <w:p w14:paraId="43A5C1C3">
      <w:pPr>
        <w:pStyle w:val="2"/>
        <w:rPr>
          <w:rFonts w:ascii="Times New Roman" w:hAnsi="Times New Roman"/>
        </w:rPr>
      </w:pPr>
    </w:p>
    <w:p w14:paraId="2A4DD16B">
      <w:pPr>
        <w:rPr>
          <w:rFonts w:ascii="Times New Roman" w:hAnsi="Times New Roman"/>
        </w:rPr>
      </w:pPr>
    </w:p>
    <w:p w14:paraId="595E190B">
      <w:pPr>
        <w:pStyle w:val="2"/>
        <w:rPr>
          <w:rFonts w:ascii="Times New Roman" w:hAnsi="Times New Roman"/>
        </w:rPr>
      </w:pPr>
    </w:p>
    <w:p w14:paraId="49970144">
      <w:pPr>
        <w:rPr>
          <w:rFonts w:ascii="Times New Roman" w:hAnsi="Times New Roman"/>
        </w:rPr>
      </w:pPr>
    </w:p>
    <w:p w14:paraId="70925D1C">
      <w:pPr>
        <w:pStyle w:val="2"/>
        <w:rPr>
          <w:rFonts w:ascii="Times New Roman" w:hAnsi="Times New Roman"/>
        </w:rPr>
      </w:pPr>
    </w:p>
    <w:tbl>
      <w:tblPr>
        <w:tblStyle w:val="9"/>
        <w:tblW w:w="92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558"/>
        <w:gridCol w:w="7016"/>
      </w:tblGrid>
      <w:tr w14:paraId="63DA8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0B2475B6">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12474453">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评分内容</w:t>
            </w:r>
          </w:p>
        </w:tc>
        <w:tc>
          <w:tcPr>
            <w:tcW w:w="7016" w:type="dxa"/>
            <w:tcBorders>
              <w:top w:val="single" w:color="auto" w:sz="4" w:space="0"/>
              <w:left w:val="single" w:color="auto" w:sz="4" w:space="0"/>
              <w:bottom w:val="single" w:color="auto" w:sz="4" w:space="0"/>
              <w:right w:val="single" w:color="auto" w:sz="4" w:space="0"/>
            </w:tcBorders>
            <w:vAlign w:val="center"/>
          </w:tcPr>
          <w:p w14:paraId="3A3DF40C">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评分标准</w:t>
            </w:r>
          </w:p>
        </w:tc>
      </w:tr>
      <w:tr w14:paraId="5DA1A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91AC65B">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p>
        </w:tc>
        <w:tc>
          <w:tcPr>
            <w:tcW w:w="1558" w:type="dxa"/>
            <w:tcBorders>
              <w:top w:val="single" w:color="auto" w:sz="4" w:space="0"/>
              <w:left w:val="single" w:color="auto" w:sz="4" w:space="0"/>
              <w:bottom w:val="single" w:color="auto" w:sz="4" w:space="0"/>
              <w:right w:val="single" w:color="auto" w:sz="4" w:space="0"/>
            </w:tcBorders>
            <w:vAlign w:val="center"/>
          </w:tcPr>
          <w:p w14:paraId="4EBB8D77">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p>
        </w:tc>
        <w:tc>
          <w:tcPr>
            <w:tcW w:w="7016" w:type="dxa"/>
            <w:tcBorders>
              <w:top w:val="single" w:color="auto" w:sz="4" w:space="0"/>
              <w:left w:val="single" w:color="auto" w:sz="4" w:space="0"/>
              <w:bottom w:val="single" w:color="auto" w:sz="4" w:space="0"/>
              <w:right w:val="single" w:color="auto" w:sz="4" w:space="0"/>
            </w:tcBorders>
            <w:vAlign w:val="center"/>
          </w:tcPr>
          <w:p w14:paraId="0F957689">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p>
        </w:tc>
      </w:tr>
      <w:tr w14:paraId="75B5C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0846DB5E">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eastAsia="楷体_GB2312"/>
                <w:bCs/>
                <w:kern w:val="0"/>
                <w:szCs w:val="21"/>
                <w:lang w:val="zh-CN" w:bidi="zh-CN"/>
              </w:rPr>
              <w:t>（</w:t>
            </w:r>
            <w:r>
              <w:rPr>
                <w:rFonts w:ascii="Times New Roman" w:hAnsi="Times New Roman" w:eastAsia="楷体_GB2312"/>
                <w:bCs/>
                <w:kern w:val="0"/>
                <w:szCs w:val="21"/>
                <w:lang w:bidi="zh-CN"/>
              </w:rPr>
              <w:t>一</w:t>
            </w:r>
            <w:r>
              <w:rPr>
                <w:rFonts w:ascii="Times New Roman" w:hAnsi="Times New Roman" w:eastAsia="楷体_GB2312"/>
                <w:bCs/>
                <w:kern w:val="0"/>
                <w:szCs w:val="21"/>
                <w:lang w:val="zh-CN" w:bidi="zh-CN"/>
              </w:rPr>
              <w:t>）价格部分</w:t>
            </w:r>
            <w:r>
              <w:rPr>
                <w:rFonts w:ascii="Times New Roman" w:hAnsi="Times New Roman" w:eastAsia="楷体_GB2312"/>
              </w:rPr>
              <w:t>（满分20分）</w:t>
            </w:r>
          </w:p>
        </w:tc>
      </w:tr>
      <w:tr w14:paraId="3CC2B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D51EA98">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664F7D54">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bCs/>
                <w:szCs w:val="21"/>
              </w:rPr>
            </w:pPr>
            <w:r>
              <w:rPr>
                <w:rFonts w:ascii="Times New Roman" w:hAnsi="Times New Roman"/>
                <w:bCs/>
                <w:kern w:val="0"/>
                <w:szCs w:val="21"/>
                <w:lang w:val="zh-CN" w:bidi="zh-CN"/>
              </w:rPr>
              <w:t>价格分</w:t>
            </w:r>
            <w:r>
              <w:rPr>
                <w:rFonts w:ascii="Times New Roman" w:hAnsi="Times New Roman"/>
                <w:bCs/>
                <w:kern w:val="0"/>
                <w:szCs w:val="21"/>
                <w:lang w:bidi="zh-CN"/>
              </w:rPr>
              <w:t xml:space="preserve">     </w:t>
            </w:r>
            <w:r>
              <w:rPr>
                <w:rFonts w:ascii="Times New Roman" w:hAnsi="Times New Roman"/>
                <w:bCs/>
                <w:kern w:val="0"/>
                <w:szCs w:val="21"/>
                <w:lang w:val="zh-CN" w:bidi="zh-CN"/>
              </w:rPr>
              <w:t>（满分</w:t>
            </w:r>
            <w:r>
              <w:rPr>
                <w:rFonts w:ascii="Times New Roman" w:hAnsi="Times New Roman"/>
                <w:bCs/>
                <w:kern w:val="0"/>
                <w:szCs w:val="21"/>
                <w:lang w:bidi="zh-CN"/>
              </w:rPr>
              <w:t>2</w:t>
            </w:r>
            <w:r>
              <w:rPr>
                <w:rFonts w:ascii="Times New Roman" w:hAnsi="Times New Roman"/>
                <w:bCs/>
                <w:kern w:val="0"/>
                <w:szCs w:val="21"/>
                <w:lang w:val="zh-CN" w:bidi="zh-CN"/>
              </w:rPr>
              <w:t>0分）</w:t>
            </w:r>
          </w:p>
        </w:tc>
        <w:tc>
          <w:tcPr>
            <w:tcW w:w="7016" w:type="dxa"/>
            <w:tcBorders>
              <w:top w:val="single" w:color="auto" w:sz="4" w:space="0"/>
              <w:left w:val="single" w:color="auto" w:sz="4" w:space="0"/>
              <w:bottom w:val="single" w:color="auto" w:sz="4" w:space="0"/>
              <w:right w:val="single" w:color="auto" w:sz="4" w:space="0"/>
            </w:tcBorders>
            <w:vAlign w:val="center"/>
          </w:tcPr>
          <w:p w14:paraId="73919A4A">
            <w:pPr>
              <w:keepNext w:val="0"/>
              <w:keepLines w:val="0"/>
              <w:pageBreakBefore w:val="0"/>
              <w:widowControl w:val="0"/>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color w:val="000000"/>
                <w:szCs w:val="21"/>
              </w:rPr>
            </w:pPr>
            <w:r>
              <w:rPr>
                <w:rFonts w:ascii="Times New Roman" w:hAnsi="Times New Roman"/>
                <w:color w:val="000000"/>
                <w:szCs w:val="21"/>
              </w:rPr>
              <w:t>投标报价得分=（全部供应商中的最低报价/某供应商投标报价）×20</w:t>
            </w:r>
          </w:p>
          <w:p w14:paraId="39042149">
            <w:pPr>
              <w:keepNext w:val="0"/>
              <w:keepLines w:val="0"/>
              <w:pageBreakBefore w:val="0"/>
              <w:widowControl w:val="0"/>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bCs/>
                <w:szCs w:val="21"/>
              </w:rPr>
            </w:pPr>
            <w:r>
              <w:rPr>
                <w:rFonts w:ascii="Times New Roman" w:hAnsi="Times New Roman"/>
                <w:bCs/>
                <w:szCs w:val="21"/>
              </w:rPr>
              <w:t>（1）根据《政府采购促进中小企业发展管理办法》（财库﹝2020﹞46 号）第九条要求，对小型和微型企业报价给予6%的扣除，用扣除后的投标报价参与评审。</w:t>
            </w:r>
          </w:p>
          <w:p w14:paraId="1D94398C">
            <w:pPr>
              <w:keepNext w:val="0"/>
              <w:keepLines w:val="0"/>
              <w:pageBreakBefore w:val="0"/>
              <w:widowControl w:val="0"/>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bCs/>
                <w:szCs w:val="21"/>
              </w:rPr>
            </w:pPr>
            <w:r>
              <w:rPr>
                <w:rFonts w:ascii="Times New Roman" w:hAnsi="Times New Roman"/>
                <w:bCs/>
                <w:szCs w:val="21"/>
              </w:rPr>
              <w:t>（2）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14:paraId="1C1B206D">
            <w:pPr>
              <w:pStyle w:val="5"/>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color w:val="000000"/>
                <w:szCs w:val="21"/>
              </w:rPr>
            </w:pPr>
            <w:r>
              <w:rPr>
                <w:rFonts w:ascii="Times New Roman" w:hAnsi="Times New Roman"/>
                <w:bCs/>
                <w:szCs w:val="21"/>
              </w:rPr>
              <w:t>（3）根据《三部门联合发布关于促进残疾人就业政府采购政策的通知》（财库[2017]141号），残疾人福利性单位视同小型、微型企业，须提供《残疾人福利性单位声明函》，未提供声明函者不予认定。</w:t>
            </w:r>
          </w:p>
        </w:tc>
      </w:tr>
      <w:tr w14:paraId="4FE6A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021D4771">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rPr>
            </w:pPr>
            <w:r>
              <w:rPr>
                <w:rFonts w:ascii="Times New Roman" w:hAnsi="Times New Roman" w:eastAsia="楷体_GB2312"/>
              </w:rPr>
              <w:t>（二）技术部分（满分</w:t>
            </w:r>
            <w:r>
              <w:rPr>
                <w:rFonts w:hint="eastAsia" w:ascii="Times New Roman" w:hAnsi="Times New Roman" w:eastAsia="楷体_GB2312"/>
                <w:lang w:val="en-US" w:eastAsia="zh-CN"/>
              </w:rPr>
              <w:t>40</w:t>
            </w:r>
            <w:r>
              <w:rPr>
                <w:rFonts w:ascii="Times New Roman" w:hAnsi="Times New Roman" w:eastAsia="楷体_GB2312"/>
              </w:rPr>
              <w:t>分）</w:t>
            </w:r>
          </w:p>
        </w:tc>
      </w:tr>
      <w:tr w14:paraId="7797F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718F8CB">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43F5B43D">
            <w:pPr>
              <w:keepNext w:val="0"/>
              <w:keepLines w:val="0"/>
              <w:pageBreakBefore w:val="0"/>
              <w:kinsoku/>
              <w:wordWrap/>
              <w:overflowPunct/>
              <w:topLinePunct w:val="0"/>
              <w:autoSpaceDE/>
              <w:autoSpaceDN/>
              <w:bidi w:val="0"/>
              <w:adjustRightInd w:val="0"/>
              <w:snapToGrid w:val="0"/>
              <w:spacing w:line="290" w:lineRule="exact"/>
              <w:ind w:left="210" w:hanging="210" w:hangingChars="100"/>
              <w:jc w:val="center"/>
              <w:textAlignment w:val="auto"/>
              <w:rPr>
                <w:rFonts w:ascii="Times New Roman" w:hAnsi="Times New Roman"/>
                <w:szCs w:val="21"/>
              </w:rPr>
            </w:pPr>
            <w:r>
              <w:rPr>
                <w:rFonts w:ascii="Times New Roman" w:hAnsi="Times New Roman"/>
                <w:szCs w:val="21"/>
              </w:rPr>
              <w:t>服务方案</w:t>
            </w:r>
          </w:p>
          <w:p w14:paraId="42888BD1">
            <w:pPr>
              <w:keepNext w:val="0"/>
              <w:keepLines w:val="0"/>
              <w:pageBreakBefore w:val="0"/>
              <w:kinsoku/>
              <w:wordWrap/>
              <w:overflowPunct/>
              <w:topLinePunct w:val="0"/>
              <w:autoSpaceDE/>
              <w:autoSpaceDN/>
              <w:bidi w:val="0"/>
              <w:adjustRightInd w:val="0"/>
              <w:snapToGrid w:val="0"/>
              <w:spacing w:line="290" w:lineRule="exact"/>
              <w:ind w:left="210" w:hanging="210" w:hangingChars="100"/>
              <w:jc w:val="center"/>
              <w:textAlignment w:val="auto"/>
              <w:rPr>
                <w:rFonts w:ascii="Times New Roman" w:hAnsi="Times New Roman"/>
                <w:szCs w:val="21"/>
              </w:rPr>
            </w:pPr>
            <w:r>
              <w:rPr>
                <w:rFonts w:ascii="Times New Roman" w:hAnsi="Times New Roman"/>
                <w:szCs w:val="21"/>
              </w:rPr>
              <w:t>（满分</w:t>
            </w:r>
            <w:r>
              <w:rPr>
                <w:rFonts w:hint="eastAsia" w:ascii="Times New Roman" w:hAnsi="Times New Roman"/>
                <w:szCs w:val="21"/>
                <w:lang w:val="en-US" w:eastAsia="zh-CN"/>
              </w:rPr>
              <w:t>20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2985B45B">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根据运维机构提供的本项目运维服务方案是否具有针对性、完整性、合理性、可行性进行综合评分。</w:t>
            </w:r>
          </w:p>
          <w:p w14:paraId="54AAC268">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1.一档（</w:t>
            </w:r>
            <w:r>
              <w:rPr>
                <w:rFonts w:hint="eastAsia" w:ascii="Times New Roman" w:hAnsi="Times New Roman"/>
                <w:szCs w:val="21"/>
                <w:lang w:val="en-US" w:eastAsia="zh-CN"/>
              </w:rPr>
              <w:t>2</w:t>
            </w:r>
            <w:r>
              <w:rPr>
                <w:rFonts w:ascii="Times New Roman" w:hAnsi="Times New Roman"/>
                <w:szCs w:val="21"/>
              </w:rPr>
              <w:t>0分）：方案非常符合本项目运维内容，运维方案完善具体，可行性强，得</w:t>
            </w:r>
            <w:r>
              <w:rPr>
                <w:rFonts w:hint="eastAsia" w:ascii="Times New Roman" w:hAnsi="Times New Roman"/>
                <w:szCs w:val="21"/>
                <w:lang w:val="en-US" w:eastAsia="zh-CN"/>
              </w:rPr>
              <w:t>2</w:t>
            </w:r>
            <w:r>
              <w:rPr>
                <w:rFonts w:hint="eastAsia" w:ascii="Times New Roman" w:hAnsi="Times New Roman"/>
                <w:szCs w:val="21"/>
              </w:rPr>
              <w:t>0</w:t>
            </w:r>
            <w:r>
              <w:rPr>
                <w:rFonts w:ascii="Times New Roman" w:hAnsi="Times New Roman"/>
                <w:szCs w:val="21"/>
              </w:rPr>
              <w:t>分；</w:t>
            </w:r>
          </w:p>
          <w:p w14:paraId="0BED38E8">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2.二档（</w:t>
            </w:r>
            <w:r>
              <w:rPr>
                <w:rFonts w:hint="eastAsia" w:ascii="Times New Roman" w:hAnsi="Times New Roman"/>
                <w:szCs w:val="21"/>
                <w:lang w:val="en-US" w:eastAsia="zh-CN"/>
              </w:rPr>
              <w:t>16</w:t>
            </w:r>
            <w:r>
              <w:rPr>
                <w:rFonts w:ascii="Times New Roman" w:hAnsi="Times New Roman"/>
                <w:szCs w:val="21"/>
              </w:rPr>
              <w:t>分）：方案基本符合本项目运维内容，运维方案基本完善，可行性较强，得</w:t>
            </w:r>
            <w:r>
              <w:rPr>
                <w:rFonts w:hint="eastAsia" w:ascii="Times New Roman" w:hAnsi="Times New Roman"/>
                <w:szCs w:val="21"/>
                <w:lang w:val="en-US" w:eastAsia="zh-CN"/>
              </w:rPr>
              <w:t>16</w:t>
            </w:r>
            <w:r>
              <w:rPr>
                <w:rFonts w:ascii="Times New Roman" w:hAnsi="Times New Roman"/>
                <w:szCs w:val="21"/>
              </w:rPr>
              <w:t>分；</w:t>
            </w:r>
          </w:p>
          <w:p w14:paraId="6F8DF87C">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3.三档（</w:t>
            </w:r>
            <w:r>
              <w:rPr>
                <w:rFonts w:hint="eastAsia" w:ascii="Times New Roman" w:hAnsi="Times New Roman"/>
                <w:szCs w:val="21"/>
                <w:lang w:val="en-US" w:eastAsia="zh-CN"/>
              </w:rPr>
              <w:t>10</w:t>
            </w:r>
            <w:r>
              <w:rPr>
                <w:rFonts w:ascii="Times New Roman" w:hAnsi="Times New Roman"/>
                <w:szCs w:val="21"/>
              </w:rPr>
              <w:t>分）：方案基本符合本项目运维内容，运维方案不够完善、可行性一般，得</w:t>
            </w:r>
            <w:r>
              <w:rPr>
                <w:rFonts w:hint="eastAsia" w:ascii="Times New Roman" w:hAnsi="Times New Roman"/>
                <w:szCs w:val="21"/>
                <w:lang w:val="en-US" w:eastAsia="zh-CN"/>
              </w:rPr>
              <w:t>10</w:t>
            </w:r>
            <w:r>
              <w:rPr>
                <w:rFonts w:ascii="Times New Roman" w:hAnsi="Times New Roman"/>
                <w:szCs w:val="21"/>
              </w:rPr>
              <w:t>分；</w:t>
            </w:r>
          </w:p>
          <w:p w14:paraId="55906BD9">
            <w:pPr>
              <w:pStyle w:val="2"/>
              <w:keepNext w:val="0"/>
              <w:keepLines w:val="0"/>
              <w:pageBreakBefore w:val="0"/>
              <w:kinsoku/>
              <w:wordWrap/>
              <w:overflowPunct/>
              <w:topLinePunct w:val="0"/>
              <w:autoSpaceDE/>
              <w:autoSpaceDN/>
              <w:bidi w:val="0"/>
              <w:adjustRightInd w:val="0"/>
              <w:snapToGrid w:val="0"/>
              <w:spacing w:after="0" w:line="290" w:lineRule="exact"/>
              <w:ind w:firstLine="420" w:firstLineChars="200"/>
              <w:textAlignment w:val="auto"/>
              <w:rPr>
                <w:rFonts w:ascii="Times New Roman" w:hAnsi="Times New Roman"/>
              </w:rPr>
            </w:pPr>
            <w:r>
              <w:rPr>
                <w:rFonts w:ascii="Times New Roman" w:hAnsi="Times New Roman"/>
                <w:szCs w:val="21"/>
              </w:rPr>
              <w:t>4.四档（</w:t>
            </w:r>
            <w:r>
              <w:rPr>
                <w:rFonts w:hint="eastAsia" w:ascii="Times New Roman" w:hAnsi="Times New Roman"/>
                <w:szCs w:val="21"/>
                <w:lang w:val="en-US" w:eastAsia="zh-CN"/>
              </w:rPr>
              <w:t>4</w:t>
            </w:r>
            <w:r>
              <w:rPr>
                <w:rFonts w:ascii="Times New Roman" w:hAnsi="Times New Roman"/>
                <w:szCs w:val="21"/>
              </w:rPr>
              <w:t>分）：方案不符合本项目运维内容，运维方案不够具体，没有可行性，或没有这方面论述，得</w:t>
            </w:r>
            <w:r>
              <w:rPr>
                <w:rFonts w:hint="eastAsia" w:ascii="Times New Roman" w:hAnsi="Times New Roman"/>
                <w:szCs w:val="21"/>
                <w:lang w:val="en-US" w:eastAsia="zh-CN"/>
              </w:rPr>
              <w:t>4</w:t>
            </w:r>
            <w:r>
              <w:rPr>
                <w:rFonts w:ascii="Times New Roman" w:hAnsi="Times New Roman"/>
                <w:szCs w:val="21"/>
              </w:rPr>
              <w:t>分。</w:t>
            </w:r>
          </w:p>
        </w:tc>
      </w:tr>
      <w:tr w14:paraId="65439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4D02307F">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2</w:t>
            </w:r>
          </w:p>
        </w:tc>
        <w:tc>
          <w:tcPr>
            <w:tcW w:w="1558" w:type="dxa"/>
            <w:tcBorders>
              <w:top w:val="single" w:color="auto" w:sz="4" w:space="0"/>
              <w:left w:val="single" w:color="auto" w:sz="4" w:space="0"/>
              <w:bottom w:val="single" w:color="auto" w:sz="4" w:space="0"/>
              <w:right w:val="single" w:color="auto" w:sz="4" w:space="0"/>
            </w:tcBorders>
            <w:vAlign w:val="center"/>
          </w:tcPr>
          <w:p w14:paraId="4DF65DA6">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hint="eastAsia" w:ascii="Times New Roman" w:hAnsi="Times New Roman" w:eastAsia="宋体"/>
                <w:szCs w:val="21"/>
                <w:lang w:eastAsia="zh-CN"/>
              </w:rPr>
            </w:pPr>
            <w:r>
              <w:rPr>
                <w:rFonts w:ascii="Times New Roman" w:hAnsi="Times New Roman"/>
                <w:szCs w:val="21"/>
              </w:rPr>
              <w:t>管理制度   （满分</w:t>
            </w:r>
            <w:r>
              <w:rPr>
                <w:rFonts w:hint="eastAsia" w:ascii="Times New Roman" w:hAnsi="Times New Roman"/>
                <w:szCs w:val="21"/>
                <w:lang w:val="en-US" w:eastAsia="zh-CN"/>
              </w:rPr>
              <w:t>10</w:t>
            </w:r>
            <w:r>
              <w:rPr>
                <w:rFonts w:ascii="Times New Roman" w:hAnsi="Times New Roman"/>
                <w:szCs w:val="21"/>
              </w:rPr>
              <w:t>分</w:t>
            </w:r>
            <w:r>
              <w:rPr>
                <w:rFonts w:hint="eastAsia" w:ascii="Times New Roman" w:hAnsi="Times New Roman"/>
                <w:szCs w:val="21"/>
                <w:lang w:eastAsia="zh-CN"/>
              </w:rPr>
              <w:t>）</w:t>
            </w:r>
          </w:p>
        </w:tc>
        <w:tc>
          <w:tcPr>
            <w:tcW w:w="7016" w:type="dxa"/>
            <w:tcBorders>
              <w:top w:val="single" w:color="auto" w:sz="4" w:space="0"/>
              <w:left w:val="single" w:color="auto" w:sz="4" w:space="0"/>
              <w:bottom w:val="single" w:color="auto" w:sz="4" w:space="0"/>
              <w:right w:val="single" w:color="auto" w:sz="4" w:space="0"/>
            </w:tcBorders>
            <w:vAlign w:val="center"/>
          </w:tcPr>
          <w:p w14:paraId="3A54DF06">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运维机构提供本项目相关管理流程、规范文件和制度。</w:t>
            </w:r>
          </w:p>
          <w:p w14:paraId="4936333F">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1.一档（</w:t>
            </w:r>
            <w:r>
              <w:rPr>
                <w:rFonts w:hint="eastAsia" w:ascii="Times New Roman" w:hAnsi="Times New Roman"/>
                <w:szCs w:val="21"/>
                <w:lang w:val="en-US" w:eastAsia="zh-CN"/>
              </w:rPr>
              <w:t>10</w:t>
            </w:r>
            <w:r>
              <w:rPr>
                <w:rFonts w:ascii="Times New Roman" w:hAnsi="Times New Roman"/>
                <w:szCs w:val="21"/>
              </w:rPr>
              <w:t>分）：管理制度完善具体、可行性强，得</w:t>
            </w:r>
            <w:r>
              <w:rPr>
                <w:rFonts w:hint="eastAsia" w:ascii="Times New Roman" w:hAnsi="Times New Roman"/>
                <w:szCs w:val="21"/>
                <w:lang w:val="en-US" w:eastAsia="zh-CN"/>
              </w:rPr>
              <w:t>10</w:t>
            </w:r>
            <w:r>
              <w:rPr>
                <w:rFonts w:ascii="Times New Roman" w:hAnsi="Times New Roman"/>
                <w:szCs w:val="21"/>
              </w:rPr>
              <w:t>分；</w:t>
            </w:r>
          </w:p>
          <w:p w14:paraId="675E71AA">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2.二档（</w:t>
            </w:r>
            <w:r>
              <w:rPr>
                <w:rFonts w:hint="eastAsia" w:ascii="Times New Roman" w:hAnsi="Times New Roman"/>
                <w:szCs w:val="21"/>
                <w:lang w:val="en-US" w:eastAsia="zh-CN"/>
              </w:rPr>
              <w:t>8</w:t>
            </w:r>
            <w:r>
              <w:rPr>
                <w:rFonts w:ascii="Times New Roman" w:hAnsi="Times New Roman"/>
                <w:szCs w:val="21"/>
              </w:rPr>
              <w:t>分）：管理制度基本完善、可行性较强，得</w:t>
            </w:r>
            <w:r>
              <w:rPr>
                <w:rFonts w:hint="eastAsia" w:ascii="Times New Roman" w:hAnsi="Times New Roman"/>
                <w:szCs w:val="21"/>
                <w:lang w:val="en-US" w:eastAsia="zh-CN"/>
              </w:rPr>
              <w:t>8</w:t>
            </w:r>
            <w:r>
              <w:rPr>
                <w:rFonts w:ascii="Times New Roman" w:hAnsi="Times New Roman"/>
                <w:szCs w:val="21"/>
              </w:rPr>
              <w:t>分；</w:t>
            </w:r>
          </w:p>
          <w:p w14:paraId="5AE16B1B">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3.三档（</w:t>
            </w:r>
            <w:r>
              <w:rPr>
                <w:rFonts w:hint="eastAsia" w:ascii="Times New Roman" w:hAnsi="Times New Roman"/>
                <w:szCs w:val="21"/>
                <w:lang w:val="en-US" w:eastAsia="zh-CN"/>
              </w:rPr>
              <w:t>5</w:t>
            </w:r>
            <w:r>
              <w:rPr>
                <w:rFonts w:ascii="Times New Roman" w:hAnsi="Times New Roman"/>
                <w:szCs w:val="21"/>
              </w:rPr>
              <w:t>分）：管理制度不够完善、可行性一般，得</w:t>
            </w:r>
            <w:r>
              <w:rPr>
                <w:rFonts w:hint="eastAsia" w:ascii="Times New Roman" w:hAnsi="Times New Roman"/>
                <w:szCs w:val="21"/>
                <w:lang w:val="en-US" w:eastAsia="zh-CN"/>
              </w:rPr>
              <w:t>5</w:t>
            </w:r>
            <w:r>
              <w:rPr>
                <w:rFonts w:ascii="Times New Roman" w:hAnsi="Times New Roman"/>
                <w:szCs w:val="21"/>
              </w:rPr>
              <w:t>分；</w:t>
            </w:r>
          </w:p>
          <w:p w14:paraId="38583867">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4.四档（2分）：管理制度不够具体、没有可行性，或没有相关论述，得2分。</w:t>
            </w:r>
          </w:p>
        </w:tc>
      </w:tr>
      <w:tr w14:paraId="57199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0AC708">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3</w:t>
            </w:r>
          </w:p>
        </w:tc>
        <w:tc>
          <w:tcPr>
            <w:tcW w:w="1558" w:type="dxa"/>
            <w:tcBorders>
              <w:top w:val="single" w:color="auto" w:sz="4" w:space="0"/>
              <w:left w:val="single" w:color="auto" w:sz="4" w:space="0"/>
              <w:bottom w:val="single" w:color="auto" w:sz="4" w:space="0"/>
              <w:right w:val="single" w:color="auto" w:sz="4" w:space="0"/>
            </w:tcBorders>
            <w:vAlign w:val="center"/>
          </w:tcPr>
          <w:p w14:paraId="715AF020">
            <w:pPr>
              <w:keepNext w:val="0"/>
              <w:keepLines w:val="0"/>
              <w:pageBreakBefore w:val="0"/>
              <w:kinsoku/>
              <w:wordWrap/>
              <w:overflowPunct/>
              <w:topLinePunct w:val="0"/>
              <w:autoSpaceDE/>
              <w:autoSpaceDN/>
              <w:bidi w:val="0"/>
              <w:adjustRightInd w:val="0"/>
              <w:snapToGrid w:val="0"/>
              <w:spacing w:line="290" w:lineRule="exact"/>
              <w:textAlignment w:val="auto"/>
              <w:rPr>
                <w:rFonts w:ascii="Times New Roman" w:hAnsi="Times New Roman"/>
                <w:szCs w:val="21"/>
              </w:rPr>
            </w:pPr>
            <w:r>
              <w:rPr>
                <w:rFonts w:ascii="Times New Roman" w:hAnsi="Times New Roman"/>
                <w:szCs w:val="21"/>
              </w:rPr>
              <w:t>应急处理方案（满分10分）</w:t>
            </w:r>
          </w:p>
        </w:tc>
        <w:tc>
          <w:tcPr>
            <w:tcW w:w="7016" w:type="dxa"/>
            <w:tcBorders>
              <w:top w:val="single" w:color="auto" w:sz="4" w:space="0"/>
              <w:left w:val="single" w:color="auto" w:sz="4" w:space="0"/>
              <w:bottom w:val="single" w:color="auto" w:sz="4" w:space="0"/>
              <w:right w:val="single" w:color="auto" w:sz="4" w:space="0"/>
            </w:tcBorders>
            <w:vAlign w:val="center"/>
          </w:tcPr>
          <w:p w14:paraId="5E713136">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应急处理方案包括详细的应急响应过程，响应方式，响应时间，故障修复时间等，针对典型安全事件或风险是否有设计完善的应急预案。</w:t>
            </w:r>
          </w:p>
          <w:p w14:paraId="630BF931">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1.一档（10分）：方案完善具体、可行性强，得10分,</w:t>
            </w:r>
          </w:p>
          <w:p w14:paraId="53ADCBF3">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2.二档（8分）：方案完善具体、可行性较强，得8分,</w:t>
            </w:r>
          </w:p>
          <w:p w14:paraId="296C6DD3">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3.三档（5分）：方案不够完善、可行性一般，得5 分，</w:t>
            </w:r>
          </w:p>
          <w:p w14:paraId="2C6259BC">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4.四档（2分）：方案不够具体、没有可行性，或没有这方面论述，得2分。</w:t>
            </w:r>
          </w:p>
        </w:tc>
      </w:tr>
      <w:tr w14:paraId="16D9F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5EAB5D2A">
            <w:pPr>
              <w:keepNext w:val="0"/>
              <w:keepLines w:val="0"/>
              <w:pageBreakBefore w:val="0"/>
              <w:kinsoku/>
              <w:wordWrap/>
              <w:overflowPunct/>
              <w:topLinePunct w:val="0"/>
              <w:autoSpaceDE/>
              <w:autoSpaceDN/>
              <w:bidi w:val="0"/>
              <w:adjustRightInd w:val="0"/>
              <w:snapToGrid w:val="0"/>
              <w:spacing w:line="290" w:lineRule="exact"/>
              <w:ind w:firstLine="420" w:firstLineChars="200"/>
              <w:jc w:val="center"/>
              <w:textAlignment w:val="auto"/>
              <w:rPr>
                <w:rFonts w:ascii="Times New Roman" w:hAnsi="Times New Roman"/>
                <w:szCs w:val="21"/>
              </w:rPr>
            </w:pPr>
            <w:r>
              <w:rPr>
                <w:rFonts w:ascii="Times New Roman" w:hAnsi="Times New Roman" w:eastAsia="楷体_GB2312"/>
              </w:rPr>
              <w:t>（三）技术支持部分（满分25分）</w:t>
            </w:r>
          </w:p>
        </w:tc>
      </w:tr>
      <w:tr w14:paraId="24854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A4767B3">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3A2B96C4">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本地化服务 （满分5分）</w:t>
            </w:r>
          </w:p>
        </w:tc>
        <w:tc>
          <w:tcPr>
            <w:tcW w:w="7016" w:type="dxa"/>
            <w:tcBorders>
              <w:top w:val="single" w:color="auto" w:sz="4" w:space="0"/>
              <w:left w:val="single" w:color="auto" w:sz="4" w:space="0"/>
              <w:bottom w:val="single" w:color="auto" w:sz="4" w:space="0"/>
              <w:right w:val="single" w:color="auto" w:sz="4" w:space="0"/>
            </w:tcBorders>
            <w:vAlign w:val="center"/>
          </w:tcPr>
          <w:p w14:paraId="3EB93482">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运维机构在本项目所在地设有办事处或机构的，得5分。</w:t>
            </w:r>
          </w:p>
          <w:p w14:paraId="0C179BDE">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备注：运维机构在本项目所在地设有办事处或机构的，提供证明材料（运维单位提供场地租赁合同复印件或相关证明，并注明服务机构详细地址、联系人、电话，加盖公章）；运维机构在本项目所在地没有固定办事处或机构的，不得分。</w:t>
            </w:r>
          </w:p>
        </w:tc>
      </w:tr>
      <w:tr w14:paraId="20A5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BCDCB74">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2</w:t>
            </w:r>
          </w:p>
        </w:tc>
        <w:tc>
          <w:tcPr>
            <w:tcW w:w="1558" w:type="dxa"/>
            <w:tcBorders>
              <w:top w:val="single" w:color="auto" w:sz="4" w:space="0"/>
              <w:left w:val="single" w:color="auto" w:sz="4" w:space="0"/>
              <w:bottom w:val="single" w:color="auto" w:sz="4" w:space="0"/>
              <w:right w:val="single" w:color="auto" w:sz="4" w:space="0"/>
            </w:tcBorders>
            <w:vAlign w:val="center"/>
          </w:tcPr>
          <w:p w14:paraId="43196424">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人员设置   （满分15分）</w:t>
            </w:r>
          </w:p>
        </w:tc>
        <w:tc>
          <w:tcPr>
            <w:tcW w:w="7016" w:type="dxa"/>
            <w:tcBorders>
              <w:top w:val="single" w:color="auto" w:sz="4" w:space="0"/>
              <w:left w:val="single" w:color="auto" w:sz="4" w:space="0"/>
              <w:bottom w:val="single" w:color="auto" w:sz="4" w:space="0"/>
              <w:right w:val="single" w:color="auto" w:sz="4" w:space="0"/>
            </w:tcBorders>
            <w:vAlign w:val="center"/>
          </w:tcPr>
          <w:p w14:paraId="5F429353">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1.项目至少配置1名具有大专以上学历，且有5个月以上空气自动监测站运维工作经历的技术人员，得5分。</w:t>
            </w:r>
          </w:p>
          <w:p w14:paraId="7D026B15">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2.参与本项目运维的专业技术人员经过运维单位内部空气自动监测领域培训，并通过考核合格的，加3分。</w:t>
            </w:r>
          </w:p>
          <w:p w14:paraId="796D4E77">
            <w:pPr>
              <w:pStyle w:val="3"/>
              <w:keepNext w:val="0"/>
              <w:keepLines w:val="0"/>
              <w:pageBreakBefore w:val="0"/>
              <w:numPr>
                <w:ilvl w:val="0"/>
                <w:numId w:val="0"/>
              </w:numPr>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szCs w:val="21"/>
              </w:rPr>
            </w:pPr>
            <w:r>
              <w:rPr>
                <w:rFonts w:ascii="Times New Roman" w:hAnsi="Times New Roman"/>
                <w:szCs w:val="21"/>
              </w:rPr>
              <w:t>3.参与本项目运维的专业技术人员经过国家或省级部门空气自动监测领域培训，并取得国家或省级部门颁发的空气自动监测领域合格证的，加</w:t>
            </w:r>
            <w:r>
              <w:rPr>
                <w:rFonts w:hint="eastAsia" w:ascii="Times New Roman" w:hAnsi="Times New Roman"/>
                <w:szCs w:val="21"/>
              </w:rPr>
              <w:t>5</w:t>
            </w:r>
            <w:r>
              <w:rPr>
                <w:rFonts w:ascii="Times New Roman" w:hAnsi="Times New Roman"/>
                <w:szCs w:val="21"/>
              </w:rPr>
              <w:t>分。</w:t>
            </w:r>
          </w:p>
          <w:p w14:paraId="77FF2144">
            <w:pPr>
              <w:pStyle w:val="3"/>
              <w:keepNext w:val="0"/>
              <w:keepLines w:val="0"/>
              <w:pageBreakBefore w:val="0"/>
              <w:numPr>
                <w:ilvl w:val="0"/>
                <w:numId w:val="0"/>
              </w:numPr>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4.满足项目要求基础上，拟投入人员中每增加1名符合上述条件（第2条、第1条和第3条）的技术人员，加</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分，满分</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分。                       </w:t>
            </w:r>
            <w:r>
              <w:rPr>
                <w:rFonts w:ascii="Times New Roman" w:hAnsi="Times New Roman"/>
                <w:szCs w:val="21"/>
              </w:rPr>
              <w:t xml:space="preserve">  </w:t>
            </w:r>
          </w:p>
          <w:p w14:paraId="0789FD64">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备注：运维机构提供本项目运维人员名单、</w:t>
            </w:r>
            <w:r>
              <w:rPr>
                <w:rFonts w:ascii="Times New Roman" w:hAnsi="Times New Roman"/>
                <w:color w:val="000000" w:themeColor="text1"/>
                <w14:textFill>
                  <w14:solidFill>
                    <w14:schemeClr w14:val="tx1"/>
                  </w14:solidFill>
                </w14:textFill>
              </w:rPr>
              <w:t>毕业证书、近5个月内至少3个月社保缴纳证明及相关工作经历证明材料的复印件，</w:t>
            </w:r>
            <w:r>
              <w:rPr>
                <w:rFonts w:ascii="Times New Roman" w:hAnsi="Times New Roman"/>
                <w:color w:val="000000" w:themeColor="text1"/>
                <w:szCs w:val="21"/>
                <w14:textFill>
                  <w14:solidFill>
                    <w14:schemeClr w14:val="tx1"/>
                  </w14:solidFill>
                </w14:textFill>
              </w:rPr>
              <w:t>并在复印件上加盖公章。</w:t>
            </w:r>
            <w:r>
              <w:rPr>
                <w:rFonts w:ascii="Times New Roman" w:hAnsi="Times New Roman"/>
                <w:szCs w:val="21"/>
              </w:rPr>
              <w:t>同时提供运维人员参加空气自动监测领域培训的相关文件或上岗证等证明材料复印件，并在复印件上加盖公章，没有证明材料不得分。</w:t>
            </w:r>
            <w:r>
              <w:rPr>
                <w:rFonts w:ascii="Times New Roman" w:hAnsi="Times New Roman"/>
                <w:color w:val="000000" w:themeColor="text1"/>
                <w:szCs w:val="21"/>
                <w14:textFill>
                  <w14:solidFill>
                    <w14:schemeClr w14:val="tx1"/>
                  </w14:solidFill>
                </w14:textFill>
              </w:rPr>
              <w:t>没有提供证明材料不得分。</w:t>
            </w:r>
          </w:p>
        </w:tc>
      </w:tr>
      <w:tr w14:paraId="2B522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6633F10">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3</w:t>
            </w:r>
          </w:p>
        </w:tc>
        <w:tc>
          <w:tcPr>
            <w:tcW w:w="1558" w:type="dxa"/>
            <w:tcBorders>
              <w:top w:val="single" w:color="auto" w:sz="4" w:space="0"/>
              <w:left w:val="single" w:color="auto" w:sz="4" w:space="0"/>
              <w:bottom w:val="single" w:color="auto" w:sz="4" w:space="0"/>
              <w:right w:val="single" w:color="auto" w:sz="4" w:space="0"/>
            </w:tcBorders>
            <w:vAlign w:val="center"/>
          </w:tcPr>
          <w:p w14:paraId="7DCF3D5E">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车辆配置   （满分</w:t>
            </w:r>
            <w:r>
              <w:rPr>
                <w:rFonts w:hint="eastAsia" w:ascii="Times New Roman" w:hAnsi="Times New Roman"/>
                <w:szCs w:val="21"/>
              </w:rPr>
              <w:t>2</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56314C49">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本项目配备有车辆的，得</w:t>
            </w:r>
            <w:r>
              <w:rPr>
                <w:rFonts w:hint="eastAsia" w:ascii="Times New Roman" w:hAnsi="Times New Roman"/>
                <w:szCs w:val="21"/>
              </w:rPr>
              <w:t>2</w:t>
            </w:r>
            <w:r>
              <w:rPr>
                <w:rFonts w:ascii="Times New Roman" w:hAnsi="Times New Roman"/>
                <w:szCs w:val="21"/>
              </w:rPr>
              <w:t>分。</w:t>
            </w:r>
          </w:p>
          <w:p w14:paraId="4C17C763">
            <w:pPr>
              <w:pStyle w:val="2"/>
              <w:keepNext w:val="0"/>
              <w:keepLines w:val="0"/>
              <w:pageBreakBefore w:val="0"/>
              <w:kinsoku/>
              <w:wordWrap/>
              <w:overflowPunct/>
              <w:topLinePunct w:val="0"/>
              <w:autoSpaceDE/>
              <w:autoSpaceDN/>
              <w:bidi w:val="0"/>
              <w:adjustRightInd w:val="0"/>
              <w:snapToGrid w:val="0"/>
              <w:spacing w:after="0" w:line="290" w:lineRule="exact"/>
              <w:ind w:firstLine="420" w:firstLineChars="200"/>
              <w:textAlignment w:val="auto"/>
              <w:rPr>
                <w:rFonts w:ascii="Times New Roman" w:hAnsi="Times New Roman"/>
                <w:szCs w:val="21"/>
              </w:rPr>
            </w:pPr>
            <w:r>
              <w:rPr>
                <w:rFonts w:ascii="Times New Roman" w:hAnsi="Times New Roman"/>
                <w:szCs w:val="21"/>
              </w:rPr>
              <w:t>备注：车辆提供购买发票或长期租赁合同及车辆行驶证复印件，车辆仅为本项目服务的承诺书，证明材料复印件上加盖运维机构公章，缺一或不提供不得分。</w:t>
            </w:r>
          </w:p>
        </w:tc>
      </w:tr>
      <w:tr w14:paraId="1F6F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tcPr>
          <w:p w14:paraId="3EAC390B">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4</w:t>
            </w:r>
          </w:p>
        </w:tc>
        <w:tc>
          <w:tcPr>
            <w:tcW w:w="1558" w:type="dxa"/>
            <w:tcBorders>
              <w:top w:val="single" w:color="auto" w:sz="4" w:space="0"/>
              <w:left w:val="single" w:color="auto" w:sz="4" w:space="0"/>
              <w:bottom w:val="single" w:color="auto" w:sz="4" w:space="0"/>
              <w:right w:val="single" w:color="auto" w:sz="4" w:space="0"/>
            </w:tcBorders>
          </w:tcPr>
          <w:p w14:paraId="3F80EECB">
            <w:pPr>
              <w:keepNext w:val="0"/>
              <w:keepLines w:val="0"/>
              <w:pageBreakBefore w:val="0"/>
              <w:kinsoku/>
              <w:wordWrap/>
              <w:overflowPunct/>
              <w:topLinePunct w:val="0"/>
              <w:autoSpaceDE/>
              <w:autoSpaceDN/>
              <w:bidi w:val="0"/>
              <w:adjustRightInd w:val="0"/>
              <w:snapToGrid w:val="0"/>
              <w:spacing w:line="290" w:lineRule="exact"/>
              <w:ind w:firstLine="8" w:firstLineChars="4"/>
              <w:jc w:val="center"/>
              <w:textAlignment w:val="auto"/>
              <w:rPr>
                <w:rFonts w:ascii="Times New Roman" w:hAnsi="Times New Roman"/>
                <w:kern w:val="0"/>
                <w:szCs w:val="21"/>
              </w:rPr>
            </w:pPr>
            <w:r>
              <w:rPr>
                <w:rFonts w:ascii="Times New Roman" w:hAnsi="Times New Roman"/>
                <w:kern w:val="0"/>
                <w:szCs w:val="21"/>
              </w:rPr>
              <w:t>备机</w:t>
            </w:r>
          </w:p>
          <w:p w14:paraId="11C472C0">
            <w:pPr>
              <w:pStyle w:val="2"/>
              <w:keepNext w:val="0"/>
              <w:keepLines w:val="0"/>
              <w:pageBreakBefore w:val="0"/>
              <w:kinsoku/>
              <w:wordWrap/>
              <w:overflowPunct/>
              <w:topLinePunct w:val="0"/>
              <w:autoSpaceDE/>
              <w:autoSpaceDN/>
              <w:bidi w:val="0"/>
              <w:adjustRightInd w:val="0"/>
              <w:snapToGrid w:val="0"/>
              <w:spacing w:after="0" w:line="290" w:lineRule="exact"/>
              <w:jc w:val="center"/>
              <w:textAlignment w:val="auto"/>
              <w:rPr>
                <w:rFonts w:ascii="Times New Roman" w:hAnsi="Times New Roman"/>
                <w:b/>
              </w:rPr>
            </w:pPr>
            <w:r>
              <w:rPr>
                <w:rFonts w:ascii="Times New Roman" w:hAnsi="Times New Roman"/>
                <w:szCs w:val="21"/>
              </w:rPr>
              <w:t>（满分</w:t>
            </w:r>
            <w:r>
              <w:rPr>
                <w:rFonts w:hint="eastAsia" w:ascii="Times New Roman" w:hAnsi="Times New Roman"/>
                <w:szCs w:val="21"/>
                <w:lang w:val="en-US" w:eastAsia="zh-CN"/>
              </w:rPr>
              <w:t>3</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tcPr>
          <w:p w14:paraId="4426C016">
            <w:pPr>
              <w:keepNext w:val="0"/>
              <w:keepLines w:val="0"/>
              <w:pageBreakBefore w:val="0"/>
              <w:kinsoku/>
              <w:wordWrap/>
              <w:overflowPunct/>
              <w:topLinePunct w:val="0"/>
              <w:autoSpaceDE/>
              <w:autoSpaceDN/>
              <w:bidi w:val="0"/>
              <w:adjustRightInd w:val="0"/>
              <w:snapToGrid w:val="0"/>
              <w:spacing w:line="290" w:lineRule="exact"/>
              <w:ind w:firstLine="420" w:firstLineChars="200"/>
              <w:jc w:val="left"/>
              <w:textAlignment w:val="auto"/>
              <w:rPr>
                <w:rFonts w:ascii="Times New Roman" w:hAnsi="Times New Roman"/>
                <w:szCs w:val="21"/>
              </w:rPr>
            </w:pPr>
            <w:r>
              <w:rPr>
                <w:rFonts w:ascii="Times New Roman" w:hAnsi="Times New Roman"/>
                <w:szCs w:val="21"/>
              </w:rPr>
              <w:t>1.有与站点配置的设备同类型的备机得</w:t>
            </w:r>
            <w:r>
              <w:rPr>
                <w:rFonts w:hint="eastAsia" w:ascii="Times New Roman" w:hAnsi="Times New Roman"/>
                <w:szCs w:val="21"/>
                <w:lang w:val="en-US" w:eastAsia="zh-CN"/>
              </w:rPr>
              <w:t>3</w:t>
            </w:r>
            <w:r>
              <w:rPr>
                <w:rFonts w:ascii="Times New Roman" w:hAnsi="Times New Roman"/>
                <w:szCs w:val="21"/>
              </w:rPr>
              <w:t>分</w:t>
            </w:r>
          </w:p>
          <w:p w14:paraId="64120D64">
            <w:pPr>
              <w:pStyle w:val="2"/>
              <w:keepNext w:val="0"/>
              <w:keepLines w:val="0"/>
              <w:pageBreakBefore w:val="0"/>
              <w:kinsoku/>
              <w:wordWrap/>
              <w:overflowPunct/>
              <w:topLinePunct w:val="0"/>
              <w:autoSpaceDE/>
              <w:autoSpaceDN/>
              <w:bidi w:val="0"/>
              <w:adjustRightInd w:val="0"/>
              <w:snapToGrid w:val="0"/>
              <w:spacing w:after="0" w:line="290" w:lineRule="exact"/>
              <w:ind w:firstLine="420" w:firstLineChars="200"/>
              <w:jc w:val="left"/>
              <w:textAlignment w:val="auto"/>
              <w:rPr>
                <w:rFonts w:ascii="Times New Roman" w:hAnsi="Times New Roman"/>
              </w:rPr>
            </w:pPr>
            <w:r>
              <w:rPr>
                <w:rFonts w:ascii="Times New Roman" w:hAnsi="Times New Roman"/>
                <w:szCs w:val="21"/>
              </w:rPr>
              <w:t>2.有能够替代（匹配）备机得</w:t>
            </w:r>
            <w:r>
              <w:rPr>
                <w:rFonts w:hint="eastAsia" w:ascii="Times New Roman" w:hAnsi="Times New Roman"/>
                <w:szCs w:val="21"/>
                <w:lang w:val="en-US" w:eastAsia="zh-CN"/>
              </w:rPr>
              <w:t>2</w:t>
            </w:r>
            <w:r>
              <w:rPr>
                <w:rFonts w:ascii="Times New Roman" w:hAnsi="Times New Roman"/>
                <w:szCs w:val="21"/>
              </w:rPr>
              <w:t>分</w:t>
            </w:r>
          </w:p>
        </w:tc>
      </w:tr>
      <w:tr w14:paraId="4F7B0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773964FB">
            <w:pPr>
              <w:keepNext w:val="0"/>
              <w:keepLines w:val="0"/>
              <w:pageBreakBefore w:val="0"/>
              <w:kinsoku/>
              <w:wordWrap/>
              <w:overflowPunct/>
              <w:topLinePunct w:val="0"/>
              <w:autoSpaceDE/>
              <w:autoSpaceDN/>
              <w:bidi w:val="0"/>
              <w:adjustRightInd w:val="0"/>
              <w:snapToGrid w:val="0"/>
              <w:spacing w:line="290" w:lineRule="exact"/>
              <w:ind w:firstLine="420" w:firstLineChars="200"/>
              <w:jc w:val="center"/>
              <w:textAlignment w:val="auto"/>
              <w:rPr>
                <w:rFonts w:ascii="Times New Roman" w:hAnsi="Times New Roman"/>
                <w:szCs w:val="21"/>
              </w:rPr>
            </w:pPr>
            <w:r>
              <w:rPr>
                <w:rFonts w:ascii="Times New Roman" w:hAnsi="Times New Roman" w:eastAsia="楷体_GB2312"/>
                <w:szCs w:val="21"/>
              </w:rPr>
              <w:t>（四）商务部分</w:t>
            </w:r>
            <w:r>
              <w:rPr>
                <w:rFonts w:ascii="Times New Roman" w:hAnsi="Times New Roman" w:eastAsia="楷体_GB2312"/>
              </w:rPr>
              <w:t>（满分</w:t>
            </w:r>
            <w:r>
              <w:rPr>
                <w:rFonts w:hint="eastAsia" w:ascii="Times New Roman" w:hAnsi="Times New Roman" w:eastAsia="楷体_GB2312"/>
                <w:lang w:val="en-US" w:eastAsia="zh-CN"/>
              </w:rPr>
              <w:t>15</w:t>
            </w:r>
            <w:r>
              <w:rPr>
                <w:rFonts w:ascii="Times New Roman" w:hAnsi="Times New Roman" w:eastAsia="楷体_GB2312"/>
              </w:rPr>
              <w:t>分）</w:t>
            </w:r>
          </w:p>
        </w:tc>
      </w:tr>
      <w:tr w14:paraId="765A4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3031E584">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2D538358">
            <w:pPr>
              <w:keepNext w:val="0"/>
              <w:keepLines w:val="0"/>
              <w:pageBreakBefore w:val="0"/>
              <w:tabs>
                <w:tab w:val="center" w:pos="4153"/>
                <w:tab w:val="right" w:pos="8306"/>
              </w:tabs>
              <w:kinsoku/>
              <w:wordWrap/>
              <w:overflowPunct/>
              <w:topLinePunct w:val="0"/>
              <w:autoSpaceDE/>
              <w:autoSpaceDN/>
              <w:bidi w:val="0"/>
              <w:adjustRightInd w:val="0"/>
              <w:snapToGrid w:val="0"/>
              <w:spacing w:line="290" w:lineRule="exact"/>
              <w:jc w:val="center"/>
              <w:textAlignment w:val="auto"/>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企业信誉</w:t>
            </w:r>
          </w:p>
          <w:p w14:paraId="22F885DC">
            <w:pPr>
              <w:keepNext w:val="0"/>
              <w:keepLines w:val="0"/>
              <w:pageBreakBefore w:val="0"/>
              <w:tabs>
                <w:tab w:val="center" w:pos="4153"/>
                <w:tab w:val="right" w:pos="8306"/>
              </w:tabs>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bCs/>
                <w:color w:val="000000" w:themeColor="text1"/>
                <w14:textFill>
                  <w14:solidFill>
                    <w14:schemeClr w14:val="tx1"/>
                  </w14:solidFill>
                </w14:textFill>
              </w:rPr>
              <w:t>（满分5分）</w:t>
            </w:r>
          </w:p>
        </w:tc>
        <w:tc>
          <w:tcPr>
            <w:tcW w:w="7016" w:type="dxa"/>
            <w:tcBorders>
              <w:top w:val="single" w:color="auto" w:sz="4" w:space="0"/>
              <w:left w:val="single" w:color="auto" w:sz="4" w:space="0"/>
              <w:bottom w:val="single" w:color="auto" w:sz="4" w:space="0"/>
              <w:right w:val="single" w:color="auto" w:sz="4" w:space="0"/>
            </w:tcBorders>
          </w:tcPr>
          <w:p w14:paraId="2FEBF75C">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rPr>
              <w:t>供应商在以往环境监测服务中未受到各级环保主管部门行政处罚、通报、记不良记录、记过、或存在弄虚作假等不良行为记录的，加盖供应商公章（供应商应的承诺必须真实有效，若经查实存在虚假承诺的情形，则采购人有权取消其成交资格，并上报监督管理部门处理，且保留追究法律责任的权利），得5分，未提供相应承诺函或有不良记录的，不得分。</w:t>
            </w:r>
          </w:p>
        </w:tc>
      </w:tr>
      <w:tr w14:paraId="66491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C5B00A9">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2</w:t>
            </w:r>
          </w:p>
        </w:tc>
        <w:tc>
          <w:tcPr>
            <w:tcW w:w="1558" w:type="dxa"/>
            <w:tcBorders>
              <w:top w:val="single" w:color="auto" w:sz="4" w:space="0"/>
              <w:left w:val="single" w:color="auto" w:sz="4" w:space="0"/>
              <w:bottom w:val="single" w:color="auto" w:sz="4" w:space="0"/>
              <w:right w:val="single" w:color="auto" w:sz="4" w:space="0"/>
            </w:tcBorders>
            <w:vAlign w:val="center"/>
          </w:tcPr>
          <w:p w14:paraId="22F1AC80">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项目业绩</w:t>
            </w:r>
          </w:p>
          <w:p w14:paraId="5BA1614B">
            <w:pPr>
              <w:keepNext w:val="0"/>
              <w:keepLines w:val="0"/>
              <w:pageBreakBefore w:val="0"/>
              <w:kinsoku/>
              <w:wordWrap/>
              <w:overflowPunct/>
              <w:topLinePunct w:val="0"/>
              <w:autoSpaceDE/>
              <w:autoSpaceDN/>
              <w:bidi w:val="0"/>
              <w:adjustRightInd w:val="0"/>
              <w:snapToGrid w:val="0"/>
              <w:spacing w:line="290" w:lineRule="exact"/>
              <w:jc w:val="center"/>
              <w:textAlignment w:val="auto"/>
              <w:rPr>
                <w:rFonts w:ascii="Times New Roman" w:hAnsi="Times New Roman"/>
                <w:szCs w:val="21"/>
              </w:rPr>
            </w:pPr>
            <w:r>
              <w:rPr>
                <w:rFonts w:ascii="Times New Roman" w:hAnsi="Times New Roman"/>
                <w:szCs w:val="21"/>
              </w:rPr>
              <w:t>（满分</w:t>
            </w:r>
            <w:r>
              <w:rPr>
                <w:rFonts w:hint="eastAsia" w:ascii="Times New Roman" w:hAnsi="Times New Roman"/>
                <w:szCs w:val="21"/>
                <w:lang w:val="en-US" w:eastAsia="zh-CN"/>
              </w:rPr>
              <w:t>10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tcPr>
          <w:p w14:paraId="35C983AE">
            <w:pPr>
              <w:keepNext w:val="0"/>
              <w:keepLines w:val="0"/>
              <w:pageBreakBefore w:val="0"/>
              <w:kinsoku/>
              <w:wordWrap/>
              <w:overflowPunct/>
              <w:topLinePunct w:val="0"/>
              <w:autoSpaceDE/>
              <w:autoSpaceDN/>
              <w:bidi w:val="0"/>
              <w:adjustRightInd w:val="0"/>
              <w:snapToGrid w:val="0"/>
              <w:spacing w:line="290" w:lineRule="exact"/>
              <w:ind w:firstLine="420" w:firstLineChars="200"/>
              <w:textAlignment w:val="auto"/>
              <w:rPr>
                <w:rFonts w:ascii="Times New Roman" w:hAnsi="Times New Roman"/>
                <w:szCs w:val="21"/>
              </w:rPr>
            </w:pPr>
            <w:r>
              <w:rPr>
                <w:rFonts w:ascii="Times New Roman" w:hAnsi="Times New Roman"/>
                <w:szCs w:val="21"/>
              </w:rPr>
              <w:t>运维机构提供近5年承担过</w:t>
            </w:r>
            <w:r>
              <w:rPr>
                <w:rFonts w:hint="eastAsia" w:ascii="Times New Roman" w:hAnsi="Times New Roman"/>
                <w:szCs w:val="21"/>
                <w:lang w:val="en-US" w:eastAsia="zh-CN"/>
              </w:rPr>
              <w:t>3</w:t>
            </w:r>
            <w:r>
              <w:rPr>
                <w:rFonts w:ascii="Times New Roman" w:hAnsi="Times New Roman"/>
                <w:szCs w:val="21"/>
              </w:rPr>
              <w:t>个空气自动站运维服务的得</w:t>
            </w:r>
            <w:r>
              <w:rPr>
                <w:rFonts w:hint="eastAsia" w:ascii="Times New Roman" w:hAnsi="Times New Roman"/>
                <w:szCs w:val="21"/>
                <w:lang w:val="en-US" w:eastAsia="zh-CN"/>
              </w:rPr>
              <w:t>7</w:t>
            </w:r>
            <w:r>
              <w:rPr>
                <w:rFonts w:ascii="Times New Roman" w:hAnsi="Times New Roman"/>
                <w:szCs w:val="21"/>
              </w:rPr>
              <w:t>分，4个及以上的每多增加一个业绩</w:t>
            </w:r>
            <w:r>
              <w:rPr>
                <w:rFonts w:hint="eastAsia" w:ascii="Times New Roman" w:hAnsi="Times New Roman"/>
                <w:szCs w:val="21"/>
                <w:lang w:val="en-US" w:eastAsia="zh-CN"/>
              </w:rPr>
              <w:t>1</w:t>
            </w:r>
            <w:r>
              <w:rPr>
                <w:rFonts w:ascii="Times New Roman" w:hAnsi="Times New Roman"/>
                <w:szCs w:val="21"/>
              </w:rPr>
              <w:t>分，本项目最高得分为</w:t>
            </w:r>
            <w:r>
              <w:rPr>
                <w:rFonts w:hint="eastAsia" w:ascii="Times New Roman" w:hAnsi="Times New Roman"/>
                <w:szCs w:val="21"/>
                <w:lang w:val="en-US" w:eastAsia="zh-CN"/>
              </w:rPr>
              <w:t>10</w:t>
            </w:r>
            <w:r>
              <w:rPr>
                <w:rFonts w:ascii="Times New Roman" w:hAnsi="Times New Roman"/>
                <w:szCs w:val="21"/>
              </w:rPr>
              <w:t>分。</w:t>
            </w:r>
          </w:p>
        </w:tc>
      </w:tr>
    </w:tbl>
    <w:p w14:paraId="47D6FA62">
      <w:pPr>
        <w:adjustRightInd w:val="0"/>
        <w:snapToGrid w:val="0"/>
        <w:spacing w:line="32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总分值=（一）+（二）+（三）+（四）</w:t>
      </w:r>
    </w:p>
    <w:p w14:paraId="43AC0617">
      <w:pPr>
        <w:adjustRightInd w:val="0"/>
        <w:snapToGrid w:val="0"/>
        <w:spacing w:line="560" w:lineRule="exact"/>
        <w:ind w:firstLine="565" w:firstLineChars="202"/>
        <w:outlineLvl w:val="0"/>
        <w:rPr>
          <w:rFonts w:hint="eastAsia" w:ascii="Times New Roman" w:hAnsi="Times New Roman" w:eastAsia="黑体"/>
          <w:bCs/>
          <w:sz w:val="28"/>
          <w:szCs w:val="28"/>
        </w:rPr>
      </w:pPr>
      <w:r>
        <w:rPr>
          <w:rFonts w:hint="eastAsia" w:ascii="Times New Roman" w:hAnsi="Times New Roman" w:eastAsia="黑体"/>
          <w:bCs/>
          <w:sz w:val="28"/>
          <w:szCs w:val="28"/>
        </w:rPr>
        <w:t>三、成交候选人推荐原则</w:t>
      </w:r>
    </w:p>
    <w:p w14:paraId="4A2F7C40">
      <w:pPr>
        <w:adjustRightInd w:val="0"/>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根据供应商提交的材料进行综合评分，按照得分由高到低顺序得出成交候选人名单，评审得分相同的，按照技术指标优劣排序。成交原则为排序顺位第一的供应商。如成交供应商因不可抗力提出不能履行合同，顺位选择第二排名的供应商，以此类推。</w:t>
      </w:r>
    </w:p>
    <w:sectPr>
      <w:footerReference r:id="rId3" w:type="default"/>
      <w:pgSz w:w="11906" w:h="16838"/>
      <w:pgMar w:top="170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DAB7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7ED77">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47ED77">
                    <w:pPr>
                      <w:pStyle w:val="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FF615"/>
    <w:multiLevelType w:val="singleLevel"/>
    <w:tmpl w:val="D33FF615"/>
    <w:lvl w:ilvl="0" w:tentative="0">
      <w:start w:val="1"/>
      <w:numFmt w:val="decimal"/>
      <w:pStyle w:val="3"/>
      <w:lvlText w:val="%1."/>
      <w:lvlJc w:val="left"/>
      <w:pPr>
        <w:tabs>
          <w:tab w:val="left" w:pos="360"/>
        </w:tabs>
        <w:ind w:left="360" w:hanging="360"/>
      </w:pPr>
    </w:lvl>
  </w:abstractNum>
  <w:abstractNum w:abstractNumId="1">
    <w:nsid w:val="6FF64015"/>
    <w:multiLevelType w:val="singleLevel"/>
    <w:tmpl w:val="6FF640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2I4ZmRhYmU5YmVmZWY0NThhMTA2ZTQ5MzkwYmYifQ=="/>
  </w:docVars>
  <w:rsids>
    <w:rsidRoot w:val="0785655A"/>
    <w:rsid w:val="00E54114"/>
    <w:rsid w:val="00FE0EB2"/>
    <w:rsid w:val="03D34D99"/>
    <w:rsid w:val="044511F7"/>
    <w:rsid w:val="0785655A"/>
    <w:rsid w:val="16BF171B"/>
    <w:rsid w:val="188F4A22"/>
    <w:rsid w:val="1ED7548C"/>
    <w:rsid w:val="2435663B"/>
    <w:rsid w:val="27D83B89"/>
    <w:rsid w:val="3BFEDCF0"/>
    <w:rsid w:val="3FFB7DDA"/>
    <w:rsid w:val="43CF0940"/>
    <w:rsid w:val="4E2C6EE0"/>
    <w:rsid w:val="541D7BD3"/>
    <w:rsid w:val="5C0F920B"/>
    <w:rsid w:val="7CF68C59"/>
    <w:rsid w:val="7E6FA6D8"/>
    <w:rsid w:val="7FFBBF65"/>
    <w:rsid w:val="BFFE2830"/>
    <w:rsid w:val="CF7F899D"/>
    <w:rsid w:val="D5EA9B4F"/>
    <w:rsid w:val="EBFFB0F1"/>
    <w:rsid w:val="F5FDB81E"/>
    <w:rsid w:val="F73FEDAE"/>
    <w:rsid w:val="FE9FC1EA"/>
    <w:rsid w:val="FEABCEA8"/>
    <w:rsid w:val="FFF7E5DC"/>
    <w:rsid w:val="FFFDF6C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List Number"/>
    <w:basedOn w:val="1"/>
    <w:qFormat/>
    <w:uiPriority w:val="0"/>
    <w:pPr>
      <w:numPr>
        <w:ilvl w:val="0"/>
        <w:numId w:val="1"/>
      </w:numPr>
    </w:pPr>
  </w:style>
  <w:style w:type="paragraph" w:styleId="4">
    <w:name w:val="annotation text"/>
    <w:basedOn w:val="1"/>
    <w:link w:val="14"/>
    <w:qFormat/>
    <w:uiPriority w:val="0"/>
    <w:pPr>
      <w:jc w:val="left"/>
    </w:p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annotation subject"/>
    <w:basedOn w:val="4"/>
    <w:next w:val="4"/>
    <w:link w:val="15"/>
    <w:qFormat/>
    <w:uiPriority w:val="0"/>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列出段落11"/>
    <w:basedOn w:val="1"/>
    <w:qFormat/>
    <w:uiPriority w:val="34"/>
    <w:pPr>
      <w:ind w:firstLine="420" w:firstLineChars="200"/>
    </w:pPr>
    <w:rPr>
      <w:rFonts w:asciiTheme="minorHAnsi" w:hAnsiTheme="minorHAnsi" w:eastAsiaTheme="minorEastAsia" w:cstheme="minorBidi"/>
    </w:rPr>
  </w:style>
  <w:style w:type="character" w:customStyle="1" w:styleId="14">
    <w:name w:val="批注文字 字符"/>
    <w:basedOn w:val="11"/>
    <w:link w:val="4"/>
    <w:qFormat/>
    <w:uiPriority w:val="0"/>
    <w:rPr>
      <w:rFonts w:ascii="Calibri" w:hAnsi="Calibri" w:eastAsia="宋体" w:cs="Times New Roman"/>
      <w:kern w:val="2"/>
      <w:sz w:val="21"/>
      <w:lang w:bidi="ar-SA"/>
    </w:rPr>
  </w:style>
  <w:style w:type="character" w:customStyle="1" w:styleId="15">
    <w:name w:val="批注主题 字符"/>
    <w:basedOn w:val="14"/>
    <w:link w:val="8"/>
    <w:qFormat/>
    <w:uiPriority w:val="0"/>
    <w:rPr>
      <w:rFonts w:ascii="Calibri" w:hAnsi="Calibri" w:eastAsia="宋体" w:cs="Times New Roman"/>
      <w:b/>
      <w:bCs/>
      <w:kern w:val="2"/>
      <w:sz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2181</Words>
  <Characters>2251</Characters>
  <Lines>17</Lines>
  <Paragraphs>4</Paragraphs>
  <TotalTime>199</TotalTime>
  <ScaleCrop>false</ScaleCrop>
  <LinksUpToDate>false</LinksUpToDate>
  <CharactersWithSpaces>2293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2023-03-10T14:14:00Z</dcterms:created>
  <dc:creator>WPS_465383031</dc:creator>
  <cp:lastModifiedBy>Dechen</cp:lastModifiedBy>
  <cp:lastPrinted>2024-08-07T20:53:00Z</cp:lastPrinted>
  <dcterms:modified xsi:type="dcterms:W3CDTF">2025-09-11T09:39:08Z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F54DBCB0A3404786AB673F6E164B2592_13</vt:lpwstr>
  </property>
  <property fmtid="{D5CDD505-2E9C-101B-9397-08002B2CF9AE}" pid="4" name="KSOTemplateDocerSaveRecord">
    <vt:lpwstr>eyJoZGlkIjoiYzRmOWI5YzdjMTJjNzFiNDYxOGEwYTZlYTNiZmE5MDUifQ==</vt:lpwstr>
  </property>
</Properties>
</file>