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B5AF5">
      <w:pPr>
        <w:shd w:val="clear" w:color="auto" w:fill="FFFFFF"/>
        <w:adjustRightInd/>
        <w:snapToGrid/>
        <w:spacing w:after="0" w:line="438" w:lineRule="atLeast"/>
        <w:jc w:val="both"/>
        <w:rPr>
          <w:rFonts w:ascii="Times New Roman" w:hAnsi="Times New Roman" w:eastAsia="宋体" w:cs="Times New Roman"/>
          <w:sz w:val="24"/>
          <w:szCs w:val="24"/>
        </w:rPr>
      </w:pPr>
      <w:bookmarkStart w:id="4" w:name="_GoBack"/>
      <w:bookmarkEnd w:id="4"/>
      <w:r>
        <w:rPr>
          <w:rFonts w:ascii="Times New Roman" w:hAnsi="黑体" w:eastAsia="黑体" w:cs="Times New Roman"/>
          <w:sz w:val="24"/>
          <w:szCs w:val="24"/>
        </w:rPr>
        <w:t>附件</w:t>
      </w:r>
    </w:p>
    <w:p w14:paraId="25765064">
      <w:pPr>
        <w:adjustRightInd/>
        <w:snapToGrid/>
        <w:spacing w:after="0"/>
        <w:jc w:val="both"/>
        <w:rPr>
          <w:rFonts w:ascii="Times New Roman" w:hAnsi="Times New Roman" w:eastAsia="宋体" w:cs="Times New Roman"/>
          <w:sz w:val="24"/>
          <w:szCs w:val="24"/>
        </w:rPr>
      </w:pPr>
      <w:r>
        <w:rPr>
          <w:rFonts w:ascii="Times New Roman" w:hAnsi="Times New Roman" w:eastAsia="方正小标宋简体" w:cs="Times New Roman"/>
          <w:b/>
          <w:bCs/>
          <w:sz w:val="24"/>
          <w:szCs w:val="24"/>
        </w:rPr>
        <w:t>评分表</w:t>
      </w:r>
    </w:p>
    <w:tbl>
      <w:tblPr>
        <w:tblStyle w:val="5"/>
        <w:tblW w:w="5088" w:type="pct"/>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550"/>
        <w:gridCol w:w="899"/>
        <w:gridCol w:w="721"/>
        <w:gridCol w:w="6298"/>
      </w:tblGrid>
      <w:tr w14:paraId="6152765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0" w:hRule="atLeast"/>
          <w:tblHeader/>
        </w:trPr>
        <w:tc>
          <w:tcPr>
            <w:tcW w:w="325" w:type="pct"/>
            <w:tcBorders>
              <w:top w:val="outset" w:color="auto" w:sz="6" w:space="0"/>
              <w:left w:val="outset" w:color="auto" w:sz="6" w:space="0"/>
              <w:bottom w:val="outset" w:color="auto" w:sz="6" w:space="0"/>
              <w:right w:val="outset" w:color="auto" w:sz="6" w:space="0"/>
            </w:tcBorders>
            <w:vAlign w:val="center"/>
          </w:tcPr>
          <w:p w14:paraId="41A024F8">
            <w:pPr>
              <w:adjustRightInd/>
              <w:snapToGrid/>
              <w:spacing w:after="0"/>
              <w:jc w:val="center"/>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序号</w:t>
            </w:r>
          </w:p>
        </w:tc>
        <w:tc>
          <w:tcPr>
            <w:tcW w:w="531" w:type="pct"/>
            <w:tcBorders>
              <w:top w:val="outset" w:color="auto" w:sz="6" w:space="0"/>
              <w:left w:val="outset" w:color="auto" w:sz="6" w:space="0"/>
              <w:bottom w:val="outset" w:color="auto" w:sz="6" w:space="0"/>
              <w:right w:val="outset" w:color="auto" w:sz="6" w:space="0"/>
            </w:tcBorders>
            <w:vAlign w:val="center"/>
          </w:tcPr>
          <w:p w14:paraId="220E3060">
            <w:pPr>
              <w:adjustRightInd/>
              <w:snapToGrid/>
              <w:spacing w:after="0"/>
              <w:jc w:val="center"/>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评审项目</w:t>
            </w:r>
          </w:p>
        </w:tc>
        <w:tc>
          <w:tcPr>
            <w:tcW w:w="426" w:type="pct"/>
            <w:tcBorders>
              <w:top w:val="outset" w:color="auto" w:sz="6" w:space="0"/>
              <w:left w:val="outset" w:color="auto" w:sz="6" w:space="0"/>
              <w:bottom w:val="outset" w:color="auto" w:sz="6" w:space="0"/>
              <w:right w:val="outset" w:color="auto" w:sz="6" w:space="0"/>
            </w:tcBorders>
            <w:vAlign w:val="center"/>
          </w:tcPr>
          <w:p w14:paraId="3337CC82">
            <w:pPr>
              <w:adjustRightInd/>
              <w:snapToGrid/>
              <w:spacing w:after="0"/>
              <w:jc w:val="center"/>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标准分</w:t>
            </w:r>
          </w:p>
        </w:tc>
        <w:tc>
          <w:tcPr>
            <w:tcW w:w="3718" w:type="pct"/>
            <w:tcBorders>
              <w:top w:val="outset" w:color="auto" w:sz="6" w:space="0"/>
              <w:left w:val="outset" w:color="auto" w:sz="6" w:space="0"/>
              <w:bottom w:val="outset" w:color="auto" w:sz="6" w:space="0"/>
              <w:right w:val="outset" w:color="auto" w:sz="6" w:space="0"/>
            </w:tcBorders>
            <w:vAlign w:val="center"/>
          </w:tcPr>
          <w:p w14:paraId="4099C341">
            <w:pPr>
              <w:adjustRightInd/>
              <w:snapToGrid/>
              <w:spacing w:after="0"/>
              <w:jc w:val="center"/>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评分说明和标准</w:t>
            </w:r>
          </w:p>
        </w:tc>
      </w:tr>
      <w:tr w14:paraId="620A0C6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325" w:type="pct"/>
            <w:tcBorders>
              <w:top w:val="outset" w:color="auto" w:sz="6" w:space="0"/>
              <w:left w:val="outset" w:color="auto" w:sz="6" w:space="0"/>
              <w:bottom w:val="outset" w:color="auto" w:sz="6" w:space="0"/>
              <w:right w:val="outset" w:color="auto" w:sz="6" w:space="0"/>
            </w:tcBorders>
            <w:vAlign w:val="center"/>
          </w:tcPr>
          <w:p w14:paraId="144DB6A4">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1</w:t>
            </w:r>
          </w:p>
        </w:tc>
        <w:tc>
          <w:tcPr>
            <w:tcW w:w="531" w:type="pct"/>
            <w:tcBorders>
              <w:top w:val="outset" w:color="auto" w:sz="6" w:space="0"/>
              <w:left w:val="outset" w:color="auto" w:sz="6" w:space="0"/>
              <w:bottom w:val="outset" w:color="auto" w:sz="6" w:space="0"/>
              <w:right w:val="outset" w:color="auto" w:sz="6" w:space="0"/>
            </w:tcBorders>
            <w:vAlign w:val="center"/>
          </w:tcPr>
          <w:p w14:paraId="3974EA12">
            <w:pPr>
              <w:adjustRightInd/>
              <w:snapToGrid/>
              <w:spacing w:after="0"/>
              <w:jc w:val="center"/>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报价</w:t>
            </w:r>
          </w:p>
        </w:tc>
        <w:tc>
          <w:tcPr>
            <w:tcW w:w="426" w:type="pct"/>
            <w:tcBorders>
              <w:top w:val="outset" w:color="auto" w:sz="6" w:space="0"/>
              <w:left w:val="outset" w:color="auto" w:sz="6" w:space="0"/>
              <w:bottom w:val="outset" w:color="auto" w:sz="6" w:space="0"/>
              <w:right w:val="outset" w:color="auto" w:sz="6" w:space="0"/>
            </w:tcBorders>
            <w:vAlign w:val="center"/>
          </w:tcPr>
          <w:p w14:paraId="0D0FF2C3">
            <w:pPr>
              <w:adjustRightInd/>
              <w:snapToGrid/>
              <w:spacing w:after="0"/>
              <w:jc w:val="center"/>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2</w:t>
            </w:r>
            <w:r>
              <w:rPr>
                <w:rFonts w:ascii="Times New Roman" w:hAnsi="Times New Roman" w:eastAsia="仿宋" w:cs="Times New Roman"/>
                <w:color w:val="000000"/>
                <w:sz w:val="21"/>
                <w:szCs w:val="21"/>
              </w:rPr>
              <w:t>0</w:t>
            </w:r>
            <w:r>
              <w:rPr>
                <w:rFonts w:ascii="Times New Roman" w:hAnsi="仿宋" w:eastAsia="仿宋" w:cs="Times New Roman"/>
                <w:color w:val="000000"/>
                <w:sz w:val="21"/>
                <w:szCs w:val="21"/>
              </w:rPr>
              <w:t>分</w:t>
            </w:r>
          </w:p>
        </w:tc>
        <w:tc>
          <w:tcPr>
            <w:tcW w:w="3718" w:type="pct"/>
            <w:tcBorders>
              <w:top w:val="outset" w:color="auto" w:sz="6" w:space="0"/>
              <w:left w:val="outset" w:color="auto" w:sz="6" w:space="0"/>
              <w:bottom w:val="outset" w:color="auto" w:sz="6" w:space="0"/>
              <w:right w:val="outset" w:color="auto" w:sz="6" w:space="0"/>
            </w:tcBorders>
            <w:vAlign w:val="center"/>
          </w:tcPr>
          <w:p w14:paraId="695E43D9">
            <w:pPr>
              <w:adjustRightInd/>
              <w:snapToGrid/>
              <w:spacing w:after="0"/>
              <w:jc w:val="both"/>
              <w:rPr>
                <w:rFonts w:ascii="Times New Roman" w:hAnsi="仿宋" w:eastAsia="仿宋" w:cs="Times New Roman"/>
                <w:color w:val="000000"/>
                <w:sz w:val="20"/>
                <w:szCs w:val="21"/>
              </w:rPr>
            </w:pPr>
            <w:r>
              <w:rPr>
                <w:rFonts w:ascii="Times New Roman" w:hAnsi="仿宋" w:eastAsia="仿宋" w:cs="Times New Roman"/>
                <w:color w:val="000000"/>
                <w:sz w:val="20"/>
                <w:szCs w:val="21"/>
              </w:rPr>
              <w:t>价格分采用低价优先法计算，在有效响应报价的基础上确定评标基准价，即满足询价文件要求且响应价格最低的报价为评标基准价，其价格分为满分</w:t>
            </w:r>
            <w:r>
              <w:rPr>
                <w:rFonts w:hint="eastAsia" w:ascii="Times New Roman" w:hAnsi="Times New Roman" w:eastAsia="仿宋" w:cs="Times New Roman"/>
                <w:color w:val="000000"/>
                <w:sz w:val="20"/>
                <w:szCs w:val="21"/>
              </w:rPr>
              <w:t>2</w:t>
            </w:r>
            <w:r>
              <w:rPr>
                <w:rFonts w:ascii="Times New Roman" w:hAnsi="Times New Roman" w:eastAsia="仿宋" w:cs="Times New Roman"/>
                <w:color w:val="000000"/>
                <w:sz w:val="20"/>
                <w:szCs w:val="21"/>
              </w:rPr>
              <w:t>0</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w:t>
            </w:r>
            <w:r>
              <w:rPr>
                <w:rFonts w:ascii="Times New Roman" w:hAnsi="仿宋" w:eastAsia="仿宋" w:cs="Times New Roman"/>
                <w:color w:val="000000"/>
                <w:sz w:val="20"/>
                <w:szCs w:val="21"/>
              </w:rPr>
              <w:t>其他响应人的价格分按照下列公式计算：</w:t>
            </w:r>
          </w:p>
          <w:p w14:paraId="2F7E1772">
            <w:pPr>
              <w:adjustRightInd/>
              <w:snapToGrid/>
              <w:spacing w:after="0"/>
              <w:jc w:val="both"/>
              <w:rPr>
                <w:rFonts w:ascii="Times New Roman" w:hAnsi="Times New Roman" w:eastAsia="仿宋" w:cs="Times New Roman"/>
                <w:color w:val="000000"/>
                <w:sz w:val="20"/>
                <w:szCs w:val="21"/>
              </w:rPr>
            </w:pPr>
            <w:r>
              <w:rPr>
                <w:rFonts w:ascii="Times New Roman" w:hAnsi="仿宋" w:eastAsia="仿宋" w:cs="Times New Roman"/>
                <w:color w:val="000000"/>
                <w:sz w:val="20"/>
                <w:szCs w:val="21"/>
              </w:rPr>
              <w:t>得分</w:t>
            </w:r>
            <w:r>
              <w:rPr>
                <w:rFonts w:ascii="Times New Roman" w:hAnsi="Times New Roman" w:eastAsia="仿宋" w:cs="Times New Roman"/>
                <w:color w:val="000000"/>
                <w:sz w:val="20"/>
                <w:szCs w:val="21"/>
              </w:rPr>
              <w:t>=</w:t>
            </w:r>
            <w:r>
              <w:rPr>
                <w:rFonts w:ascii="Times New Roman" w:hAnsi="仿宋" w:eastAsia="仿宋" w:cs="Times New Roman"/>
                <w:color w:val="000000"/>
                <w:sz w:val="20"/>
                <w:szCs w:val="21"/>
              </w:rPr>
              <w:t>（最低价</w:t>
            </w:r>
            <w:r>
              <w:rPr>
                <w:rFonts w:ascii="Times New Roman" w:hAnsi="Times New Roman" w:eastAsia="仿宋" w:cs="Times New Roman"/>
                <w:color w:val="000000"/>
                <w:sz w:val="20"/>
                <w:szCs w:val="21"/>
              </w:rPr>
              <w:t>/</w:t>
            </w:r>
            <w:r>
              <w:rPr>
                <w:rFonts w:ascii="Times New Roman" w:hAnsi="仿宋" w:eastAsia="仿宋" w:cs="Times New Roman"/>
                <w:color w:val="000000"/>
                <w:sz w:val="20"/>
                <w:szCs w:val="21"/>
              </w:rPr>
              <w:t>响应报价）</w:t>
            </w:r>
            <w:r>
              <w:rPr>
                <w:rFonts w:ascii="Times New Roman" w:hAnsi="Times New Roman" w:eastAsia="仿宋" w:cs="Times New Roman"/>
                <w:color w:val="000000"/>
                <w:sz w:val="20"/>
                <w:szCs w:val="21"/>
              </w:rPr>
              <w:t>×</w:t>
            </w:r>
            <w:r>
              <w:rPr>
                <w:rFonts w:hint="eastAsia" w:ascii="Times New Roman" w:hAnsi="Times New Roman" w:eastAsia="仿宋" w:cs="Times New Roman"/>
                <w:color w:val="000000"/>
                <w:sz w:val="20"/>
                <w:szCs w:val="21"/>
              </w:rPr>
              <w:t>2</w:t>
            </w:r>
            <w:r>
              <w:rPr>
                <w:rFonts w:ascii="Times New Roman" w:hAnsi="Times New Roman" w:eastAsia="仿宋" w:cs="Times New Roman"/>
                <w:color w:val="000000"/>
                <w:sz w:val="20"/>
                <w:szCs w:val="21"/>
              </w:rPr>
              <w:t>0</w:t>
            </w:r>
          </w:p>
        </w:tc>
      </w:tr>
      <w:tr w14:paraId="0626DE3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325" w:type="pct"/>
            <w:tcBorders>
              <w:top w:val="outset" w:color="auto" w:sz="6" w:space="0"/>
              <w:left w:val="outset" w:color="auto" w:sz="6" w:space="0"/>
              <w:bottom w:val="outset" w:color="auto" w:sz="6" w:space="0"/>
              <w:right w:val="outset" w:color="auto" w:sz="6" w:space="0"/>
            </w:tcBorders>
            <w:vAlign w:val="center"/>
          </w:tcPr>
          <w:p w14:paraId="5A457673">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2</w:t>
            </w:r>
          </w:p>
        </w:tc>
        <w:tc>
          <w:tcPr>
            <w:tcW w:w="531" w:type="pct"/>
            <w:tcBorders>
              <w:top w:val="outset" w:color="auto" w:sz="6" w:space="0"/>
              <w:left w:val="outset" w:color="auto" w:sz="6" w:space="0"/>
              <w:bottom w:val="outset" w:color="auto" w:sz="6" w:space="0"/>
              <w:right w:val="outset" w:color="auto" w:sz="6" w:space="0"/>
            </w:tcBorders>
            <w:vAlign w:val="center"/>
          </w:tcPr>
          <w:p w14:paraId="0BC4C173">
            <w:pPr>
              <w:adjustRightInd/>
              <w:snapToGrid/>
              <w:spacing w:after="0"/>
              <w:jc w:val="center"/>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人员实力</w:t>
            </w:r>
          </w:p>
        </w:tc>
        <w:tc>
          <w:tcPr>
            <w:tcW w:w="426" w:type="pct"/>
            <w:tcBorders>
              <w:top w:val="outset" w:color="auto" w:sz="6" w:space="0"/>
              <w:left w:val="outset" w:color="auto" w:sz="6" w:space="0"/>
              <w:bottom w:val="outset" w:color="auto" w:sz="6" w:space="0"/>
              <w:right w:val="outset" w:color="auto" w:sz="6" w:space="0"/>
            </w:tcBorders>
            <w:vAlign w:val="center"/>
          </w:tcPr>
          <w:p w14:paraId="239B3105">
            <w:pPr>
              <w:adjustRightInd/>
              <w:snapToGrid/>
              <w:spacing w:after="0"/>
              <w:jc w:val="center"/>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15</w:t>
            </w:r>
            <w:r>
              <w:rPr>
                <w:rFonts w:ascii="Times New Roman" w:hAnsi="仿宋" w:eastAsia="仿宋" w:cs="Times New Roman"/>
                <w:color w:val="000000"/>
                <w:sz w:val="21"/>
                <w:szCs w:val="21"/>
              </w:rPr>
              <w:t>分</w:t>
            </w:r>
          </w:p>
        </w:tc>
        <w:tc>
          <w:tcPr>
            <w:tcW w:w="3718" w:type="pct"/>
            <w:tcBorders>
              <w:top w:val="outset" w:color="auto" w:sz="6" w:space="0"/>
              <w:left w:val="outset" w:color="auto" w:sz="6" w:space="0"/>
              <w:bottom w:val="outset" w:color="auto" w:sz="6" w:space="0"/>
              <w:right w:val="outset" w:color="auto" w:sz="6" w:space="0"/>
            </w:tcBorders>
            <w:vAlign w:val="center"/>
          </w:tcPr>
          <w:p w14:paraId="7E6E3B1F">
            <w:pPr>
              <w:adjustRightInd/>
              <w:snapToGrid/>
              <w:spacing w:after="0"/>
              <w:jc w:val="both"/>
              <w:rPr>
                <w:rFonts w:ascii="Times New Roman" w:hAnsi="Times New Roman" w:eastAsia="仿宋" w:cs="Times New Roman"/>
                <w:color w:val="000000"/>
                <w:sz w:val="20"/>
                <w:szCs w:val="21"/>
              </w:rPr>
            </w:pPr>
            <w:r>
              <w:rPr>
                <w:rFonts w:ascii="Times New Roman" w:hAnsi="仿宋" w:eastAsia="仿宋" w:cs="Times New Roman"/>
                <w:color w:val="000000"/>
                <w:sz w:val="20"/>
                <w:szCs w:val="21"/>
              </w:rPr>
              <w:t>根据响应人拟投入本项目的技术人员情况评分：满分为</w:t>
            </w:r>
            <w:r>
              <w:rPr>
                <w:rFonts w:hint="eastAsia" w:ascii="Times New Roman" w:hAnsi="Times New Roman" w:eastAsia="仿宋" w:cs="Times New Roman"/>
                <w:color w:val="000000"/>
                <w:sz w:val="20"/>
                <w:szCs w:val="21"/>
              </w:rPr>
              <w:t>15</w:t>
            </w:r>
            <w:r>
              <w:rPr>
                <w:rFonts w:ascii="Times New Roman" w:hAnsi="仿宋" w:eastAsia="仿宋" w:cs="Times New Roman"/>
                <w:color w:val="000000"/>
                <w:sz w:val="20"/>
                <w:szCs w:val="21"/>
              </w:rPr>
              <w:t>分。</w:t>
            </w:r>
          </w:p>
          <w:p w14:paraId="0EE16F72">
            <w:pPr>
              <w:adjustRightInd/>
              <w:snapToGrid/>
              <w:spacing w:after="0"/>
              <w:jc w:val="both"/>
              <w:rPr>
                <w:rFonts w:ascii="Times New Roman" w:hAnsi="Times New Roman" w:eastAsia="仿宋" w:cs="Times New Roman"/>
                <w:color w:val="000000"/>
                <w:sz w:val="20"/>
                <w:szCs w:val="21"/>
              </w:rPr>
            </w:pPr>
            <w:r>
              <w:rPr>
                <w:rFonts w:hint="eastAsia" w:ascii="Times New Roman" w:hAnsi="Times New Roman" w:eastAsia="仿宋" w:cs="Times New Roman"/>
                <w:color w:val="000000"/>
                <w:sz w:val="20"/>
                <w:szCs w:val="21"/>
              </w:rPr>
              <w:t>（1）</w:t>
            </w:r>
            <w:r>
              <w:rPr>
                <w:rFonts w:ascii="Times New Roman" w:hAnsi="仿宋" w:eastAsia="仿宋" w:cs="Times New Roman"/>
                <w:color w:val="000000"/>
                <w:sz w:val="20"/>
                <w:szCs w:val="21"/>
              </w:rPr>
              <w:t>根据响应人投入本项目的负责人正高级及以上职称得</w:t>
            </w:r>
            <w:r>
              <w:rPr>
                <w:rFonts w:ascii="Times New Roman" w:hAnsi="Times New Roman" w:eastAsia="仿宋" w:cs="Times New Roman"/>
                <w:color w:val="000000"/>
                <w:sz w:val="20"/>
                <w:szCs w:val="21"/>
              </w:rPr>
              <w:t>5</w:t>
            </w:r>
            <w:r>
              <w:rPr>
                <w:rFonts w:ascii="Times New Roman" w:hAnsi="仿宋" w:eastAsia="仿宋" w:cs="Times New Roman"/>
                <w:color w:val="000000"/>
                <w:sz w:val="20"/>
                <w:szCs w:val="21"/>
              </w:rPr>
              <w:t>分，高级职称得</w:t>
            </w:r>
            <w:r>
              <w:rPr>
                <w:rFonts w:ascii="Times New Roman" w:hAnsi="Times New Roman" w:eastAsia="仿宋" w:cs="Times New Roman"/>
                <w:color w:val="000000"/>
                <w:sz w:val="20"/>
                <w:szCs w:val="21"/>
              </w:rPr>
              <w:t>3</w:t>
            </w:r>
            <w:r>
              <w:rPr>
                <w:rFonts w:ascii="Times New Roman" w:hAnsi="仿宋" w:eastAsia="仿宋" w:cs="Times New Roman"/>
                <w:color w:val="000000"/>
                <w:sz w:val="20"/>
                <w:szCs w:val="21"/>
              </w:rPr>
              <w:t>分，中级职称得</w:t>
            </w:r>
            <w:r>
              <w:rPr>
                <w:rFonts w:ascii="Times New Roman" w:hAnsi="Times New Roman" w:eastAsia="仿宋" w:cs="Times New Roman"/>
                <w:color w:val="000000"/>
                <w:sz w:val="20"/>
                <w:szCs w:val="21"/>
              </w:rPr>
              <w:t>1</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w:t>
            </w:r>
            <w:r>
              <w:rPr>
                <w:rFonts w:hint="eastAsia" w:ascii="Times New Roman" w:hAnsi="Times New Roman" w:eastAsia="仿宋" w:cs="Times New Roman"/>
                <w:color w:val="000000"/>
                <w:sz w:val="20"/>
                <w:szCs w:val="21"/>
              </w:rPr>
              <w:t>（2）</w:t>
            </w:r>
            <w:r>
              <w:rPr>
                <w:rFonts w:ascii="Times New Roman" w:hAnsi="仿宋" w:eastAsia="仿宋" w:cs="Times New Roman"/>
                <w:color w:val="000000"/>
                <w:sz w:val="20"/>
                <w:szCs w:val="21"/>
              </w:rPr>
              <w:t>根据响应人拟投入本项目的其他技术人员高级职称及以上职称数量</w:t>
            </w:r>
            <w:r>
              <w:rPr>
                <w:rFonts w:ascii="Times New Roman" w:hAnsi="Times New Roman" w:eastAsia="仿宋" w:cs="Times New Roman"/>
                <w:color w:val="000000"/>
                <w:sz w:val="20"/>
                <w:szCs w:val="21"/>
              </w:rPr>
              <w:t>6</w:t>
            </w:r>
            <w:r>
              <w:rPr>
                <w:rFonts w:ascii="Times New Roman" w:hAnsi="仿宋" w:eastAsia="仿宋" w:cs="Times New Roman"/>
                <w:color w:val="000000"/>
                <w:sz w:val="20"/>
                <w:szCs w:val="21"/>
              </w:rPr>
              <w:t>人以上得</w:t>
            </w:r>
            <w:r>
              <w:rPr>
                <w:rFonts w:hint="eastAsia" w:ascii="Times New Roman" w:hAnsi="Times New Roman" w:eastAsia="仿宋" w:cs="Times New Roman"/>
                <w:color w:val="000000"/>
                <w:sz w:val="20"/>
                <w:szCs w:val="21"/>
              </w:rPr>
              <w:t>15</w:t>
            </w:r>
            <w:r>
              <w:rPr>
                <w:rFonts w:ascii="Times New Roman" w:hAnsi="仿宋" w:eastAsia="仿宋" w:cs="Times New Roman"/>
                <w:color w:val="000000"/>
                <w:sz w:val="20"/>
                <w:szCs w:val="21"/>
              </w:rPr>
              <w:t>分，高级职称及以上人数</w:t>
            </w:r>
            <w:r>
              <w:rPr>
                <w:rFonts w:ascii="Times New Roman" w:hAnsi="Times New Roman" w:eastAsia="仿宋" w:cs="Times New Roman"/>
                <w:color w:val="000000"/>
                <w:sz w:val="20"/>
                <w:szCs w:val="21"/>
              </w:rPr>
              <w:t>3-5</w:t>
            </w:r>
            <w:r>
              <w:rPr>
                <w:rFonts w:ascii="Times New Roman" w:hAnsi="仿宋" w:eastAsia="仿宋" w:cs="Times New Roman"/>
                <w:color w:val="000000"/>
                <w:sz w:val="20"/>
                <w:szCs w:val="21"/>
              </w:rPr>
              <w:t>人得</w:t>
            </w:r>
            <w:r>
              <w:rPr>
                <w:rFonts w:hint="eastAsia" w:ascii="Times New Roman" w:hAnsi="Times New Roman" w:eastAsia="仿宋" w:cs="Times New Roman"/>
                <w:color w:val="000000"/>
                <w:sz w:val="20"/>
                <w:szCs w:val="21"/>
              </w:rPr>
              <w:t>10</w:t>
            </w:r>
            <w:r>
              <w:rPr>
                <w:rFonts w:ascii="Times New Roman" w:hAnsi="仿宋" w:eastAsia="仿宋" w:cs="Times New Roman"/>
                <w:color w:val="000000"/>
                <w:sz w:val="20"/>
                <w:szCs w:val="21"/>
              </w:rPr>
              <w:t>分，高级职称及以上人数不足</w:t>
            </w:r>
            <w:r>
              <w:rPr>
                <w:rFonts w:ascii="Times New Roman" w:hAnsi="Times New Roman" w:eastAsia="仿宋" w:cs="Times New Roman"/>
                <w:color w:val="000000"/>
                <w:sz w:val="20"/>
                <w:szCs w:val="21"/>
              </w:rPr>
              <w:t>3</w:t>
            </w:r>
            <w:r>
              <w:rPr>
                <w:rFonts w:ascii="Times New Roman" w:hAnsi="仿宋" w:eastAsia="仿宋" w:cs="Times New Roman"/>
                <w:color w:val="000000"/>
                <w:sz w:val="20"/>
                <w:szCs w:val="21"/>
              </w:rPr>
              <w:t>人得</w:t>
            </w:r>
            <w:r>
              <w:rPr>
                <w:rFonts w:hint="eastAsia" w:ascii="Times New Roman" w:hAnsi="Times New Roman" w:eastAsia="仿宋" w:cs="Times New Roman"/>
                <w:color w:val="000000"/>
                <w:sz w:val="20"/>
                <w:szCs w:val="21"/>
              </w:rPr>
              <w:t>5</w:t>
            </w:r>
            <w:r>
              <w:rPr>
                <w:rFonts w:ascii="Times New Roman" w:hAnsi="仿宋" w:eastAsia="仿宋" w:cs="Times New Roman"/>
                <w:color w:val="000000"/>
                <w:sz w:val="20"/>
                <w:szCs w:val="21"/>
              </w:rPr>
              <w:t>分。</w:t>
            </w:r>
          </w:p>
        </w:tc>
      </w:tr>
      <w:tr w14:paraId="5A5BA9E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325" w:type="pct"/>
            <w:tcBorders>
              <w:top w:val="outset" w:color="auto" w:sz="6" w:space="0"/>
              <w:left w:val="outset" w:color="auto" w:sz="6" w:space="0"/>
              <w:bottom w:val="outset" w:color="auto" w:sz="6" w:space="0"/>
              <w:right w:val="outset" w:color="auto" w:sz="6" w:space="0"/>
            </w:tcBorders>
            <w:vAlign w:val="center"/>
          </w:tcPr>
          <w:p w14:paraId="46468FF0">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3</w:t>
            </w:r>
          </w:p>
        </w:tc>
        <w:tc>
          <w:tcPr>
            <w:tcW w:w="531" w:type="pct"/>
            <w:tcBorders>
              <w:top w:val="outset" w:color="auto" w:sz="6" w:space="0"/>
              <w:left w:val="outset" w:color="auto" w:sz="6" w:space="0"/>
              <w:bottom w:val="outset" w:color="auto" w:sz="6" w:space="0"/>
              <w:right w:val="outset" w:color="auto" w:sz="6" w:space="0"/>
            </w:tcBorders>
            <w:vAlign w:val="center"/>
          </w:tcPr>
          <w:p w14:paraId="569547D2">
            <w:pPr>
              <w:adjustRightInd/>
              <w:snapToGrid/>
              <w:spacing w:after="0"/>
              <w:jc w:val="center"/>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拟投入的仪器设备情况</w:t>
            </w:r>
          </w:p>
        </w:tc>
        <w:tc>
          <w:tcPr>
            <w:tcW w:w="426" w:type="pct"/>
            <w:tcBorders>
              <w:top w:val="outset" w:color="auto" w:sz="6" w:space="0"/>
              <w:left w:val="outset" w:color="auto" w:sz="6" w:space="0"/>
              <w:bottom w:val="outset" w:color="auto" w:sz="6" w:space="0"/>
              <w:right w:val="outset" w:color="auto" w:sz="6" w:space="0"/>
            </w:tcBorders>
            <w:vAlign w:val="center"/>
          </w:tcPr>
          <w:p w14:paraId="5EEC19C3">
            <w:pPr>
              <w:adjustRightInd/>
              <w:snapToGrid/>
              <w:spacing w:after="0"/>
              <w:jc w:val="center"/>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15</w:t>
            </w:r>
            <w:r>
              <w:rPr>
                <w:rFonts w:ascii="Times New Roman" w:hAnsi="仿宋" w:eastAsia="仿宋" w:cs="Times New Roman"/>
                <w:color w:val="000000"/>
                <w:sz w:val="21"/>
                <w:szCs w:val="21"/>
              </w:rPr>
              <w:t>分</w:t>
            </w:r>
          </w:p>
        </w:tc>
        <w:tc>
          <w:tcPr>
            <w:tcW w:w="3718" w:type="pct"/>
            <w:tcBorders>
              <w:top w:val="outset" w:color="auto" w:sz="6" w:space="0"/>
              <w:left w:val="outset" w:color="auto" w:sz="6" w:space="0"/>
              <w:bottom w:val="outset" w:color="auto" w:sz="6" w:space="0"/>
              <w:right w:val="outset" w:color="auto" w:sz="6" w:space="0"/>
            </w:tcBorders>
            <w:vAlign w:val="center"/>
          </w:tcPr>
          <w:p w14:paraId="545E61FA">
            <w:pPr>
              <w:adjustRightInd/>
              <w:snapToGrid/>
              <w:spacing w:after="0"/>
              <w:jc w:val="both"/>
              <w:rPr>
                <w:rFonts w:ascii="Times New Roman" w:hAnsi="Times New Roman" w:eastAsia="仿宋" w:cs="Times New Roman"/>
                <w:color w:val="000000"/>
                <w:sz w:val="20"/>
                <w:szCs w:val="21"/>
              </w:rPr>
            </w:pPr>
            <w:r>
              <w:rPr>
                <w:rFonts w:ascii="Times New Roman" w:hAnsi="仿宋" w:eastAsia="仿宋" w:cs="Times New Roman"/>
                <w:color w:val="000000"/>
                <w:sz w:val="20"/>
                <w:szCs w:val="21"/>
              </w:rPr>
              <w:t>响应人应根据本项目具体情况，按工作特点、性质投入有针对性、科学可行、提升效率的仪器设备，包括</w:t>
            </w:r>
            <w:r>
              <w:rPr>
                <w:rFonts w:hint="eastAsia" w:ascii="Times New Roman" w:hAnsi="仿宋" w:eastAsia="仿宋" w:cs="Times New Roman"/>
                <w:color w:val="000000"/>
                <w:sz w:val="20"/>
                <w:szCs w:val="21"/>
              </w:rPr>
              <w:t>：ICP-MS</w:t>
            </w:r>
            <w:r>
              <w:rPr>
                <w:rFonts w:ascii="Times New Roman" w:hAnsi="仿宋" w:eastAsia="仿宋" w:cs="Times New Roman"/>
                <w:color w:val="000000"/>
                <w:sz w:val="20"/>
                <w:szCs w:val="21"/>
              </w:rPr>
              <w:t>、</w:t>
            </w:r>
            <w:r>
              <w:rPr>
                <w:rFonts w:hint="eastAsia" w:ascii="Times New Roman" w:hAnsi="仿宋" w:eastAsia="仿宋" w:cs="Times New Roman"/>
                <w:color w:val="000000"/>
                <w:sz w:val="20"/>
                <w:szCs w:val="21"/>
              </w:rPr>
              <w:t>XRF、测汞仪、原子荧光、石墨炉原子吸收</w:t>
            </w:r>
            <w:r>
              <w:rPr>
                <w:rFonts w:ascii="Times New Roman" w:hAnsi="仿宋" w:eastAsia="仿宋" w:cs="Times New Roman"/>
                <w:color w:val="000000"/>
                <w:sz w:val="20"/>
                <w:szCs w:val="21"/>
              </w:rPr>
              <w:t>等</w:t>
            </w:r>
            <w:r>
              <w:rPr>
                <w:rFonts w:hint="eastAsia" w:ascii="Times New Roman" w:hAnsi="仿宋" w:eastAsia="仿宋" w:cs="Times New Roman"/>
                <w:color w:val="000000"/>
                <w:sz w:val="20"/>
                <w:szCs w:val="21"/>
              </w:rPr>
              <w:t>相关分析仪器设备和微波消解仪、电热板等相关辅助前处理设备</w:t>
            </w:r>
            <w:r>
              <w:rPr>
                <w:rFonts w:ascii="Times New Roman" w:hAnsi="仿宋" w:eastAsia="仿宋" w:cs="Times New Roman"/>
                <w:color w:val="000000"/>
                <w:sz w:val="20"/>
                <w:szCs w:val="21"/>
              </w:rPr>
              <w:t>。满分</w:t>
            </w:r>
            <w:r>
              <w:rPr>
                <w:rFonts w:hint="eastAsia" w:ascii="Times New Roman" w:hAnsi="Times New Roman" w:eastAsia="仿宋" w:cs="Times New Roman"/>
                <w:color w:val="000000"/>
                <w:sz w:val="20"/>
                <w:szCs w:val="21"/>
              </w:rPr>
              <w:t>15</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其中：（1）</w:t>
            </w:r>
            <w:r>
              <w:rPr>
                <w:rFonts w:ascii="Times New Roman" w:hAnsi="仿宋" w:eastAsia="仿宋" w:cs="Times New Roman"/>
                <w:color w:val="000000"/>
                <w:sz w:val="20"/>
                <w:szCs w:val="21"/>
              </w:rPr>
              <w:t>针对本项目拟投入的</w:t>
            </w:r>
            <w:r>
              <w:rPr>
                <w:rFonts w:hint="eastAsia" w:ascii="Times New Roman" w:hAnsi="仿宋" w:eastAsia="仿宋" w:cs="Times New Roman"/>
                <w:color w:val="000000"/>
                <w:sz w:val="20"/>
                <w:szCs w:val="21"/>
              </w:rPr>
              <w:t>分析设备和辅助设备均满足且</w:t>
            </w:r>
            <w:r>
              <w:rPr>
                <w:rFonts w:ascii="Times New Roman" w:hAnsi="仿宋" w:eastAsia="仿宋" w:cs="Times New Roman"/>
                <w:color w:val="000000"/>
                <w:sz w:val="20"/>
                <w:szCs w:val="21"/>
              </w:rPr>
              <w:t>配置充足、科学合理，贴合项目需求，能够充分满足项目需求的，得</w:t>
            </w:r>
            <w:r>
              <w:rPr>
                <w:rFonts w:hint="eastAsia" w:ascii="Times New Roman" w:hAnsi="Times New Roman" w:eastAsia="仿宋" w:cs="Times New Roman"/>
                <w:color w:val="000000"/>
                <w:sz w:val="20"/>
                <w:szCs w:val="21"/>
              </w:rPr>
              <w:t>15</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（2）</w:t>
            </w:r>
            <w:r>
              <w:rPr>
                <w:rFonts w:ascii="Times New Roman" w:hAnsi="仿宋" w:eastAsia="仿宋" w:cs="Times New Roman"/>
                <w:color w:val="000000"/>
                <w:sz w:val="20"/>
                <w:szCs w:val="21"/>
              </w:rPr>
              <w:t>针对本项目拟投入的设备</w:t>
            </w:r>
            <w:r>
              <w:rPr>
                <w:rFonts w:hint="eastAsia" w:ascii="Times New Roman" w:hAnsi="仿宋" w:eastAsia="仿宋" w:cs="Times New Roman"/>
                <w:color w:val="000000"/>
                <w:sz w:val="20"/>
                <w:szCs w:val="21"/>
              </w:rPr>
              <w:t>分析设备和辅助设备</w:t>
            </w:r>
            <w:r>
              <w:rPr>
                <w:rFonts w:ascii="Times New Roman" w:hAnsi="仿宋" w:eastAsia="仿宋" w:cs="Times New Roman"/>
                <w:color w:val="000000"/>
                <w:sz w:val="20"/>
                <w:szCs w:val="21"/>
              </w:rPr>
              <w:t>配置基本能够满足项目需求的，得</w:t>
            </w:r>
            <w:r>
              <w:rPr>
                <w:rFonts w:hint="eastAsia" w:ascii="Times New Roman" w:hAnsi="Times New Roman" w:eastAsia="仿宋" w:cs="Times New Roman"/>
                <w:color w:val="000000"/>
                <w:sz w:val="20"/>
                <w:szCs w:val="21"/>
              </w:rPr>
              <w:t>10</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（3）</w:t>
            </w:r>
            <w:r>
              <w:rPr>
                <w:rFonts w:ascii="Times New Roman" w:hAnsi="仿宋" w:eastAsia="仿宋" w:cs="Times New Roman"/>
                <w:color w:val="000000"/>
                <w:sz w:val="20"/>
                <w:szCs w:val="21"/>
              </w:rPr>
              <w:t>设备配置不满足的，得</w:t>
            </w:r>
            <w:r>
              <w:rPr>
                <w:rFonts w:ascii="Times New Roman" w:hAnsi="Times New Roman" w:eastAsia="仿宋" w:cs="Times New Roman"/>
                <w:color w:val="000000"/>
                <w:sz w:val="20"/>
                <w:szCs w:val="21"/>
              </w:rPr>
              <w:t>0</w:t>
            </w:r>
            <w:r>
              <w:rPr>
                <w:rFonts w:ascii="Times New Roman" w:hAnsi="仿宋" w:eastAsia="仿宋" w:cs="Times New Roman"/>
                <w:color w:val="000000"/>
                <w:sz w:val="20"/>
                <w:szCs w:val="21"/>
              </w:rPr>
              <w:t>分。</w:t>
            </w:r>
          </w:p>
        </w:tc>
      </w:tr>
      <w:tr w14:paraId="7FB3479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325" w:type="pct"/>
            <w:tcBorders>
              <w:top w:val="outset" w:color="auto" w:sz="6" w:space="0"/>
              <w:left w:val="outset" w:color="auto" w:sz="6" w:space="0"/>
              <w:bottom w:val="outset" w:color="auto" w:sz="6" w:space="0"/>
              <w:right w:val="outset" w:color="auto" w:sz="6" w:space="0"/>
            </w:tcBorders>
            <w:vAlign w:val="center"/>
          </w:tcPr>
          <w:p w14:paraId="373D3919">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4</w:t>
            </w:r>
          </w:p>
        </w:tc>
        <w:tc>
          <w:tcPr>
            <w:tcW w:w="531" w:type="pct"/>
            <w:tcBorders>
              <w:top w:val="outset" w:color="auto" w:sz="6" w:space="0"/>
              <w:left w:val="outset" w:color="auto" w:sz="6" w:space="0"/>
              <w:bottom w:val="outset" w:color="auto" w:sz="6" w:space="0"/>
              <w:right w:val="outset" w:color="auto" w:sz="6" w:space="0"/>
            </w:tcBorders>
            <w:vAlign w:val="center"/>
          </w:tcPr>
          <w:p w14:paraId="15C7E2BD">
            <w:pPr>
              <w:adjustRightInd/>
              <w:snapToGrid/>
              <w:spacing w:after="0"/>
              <w:jc w:val="center"/>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同类项目业绩</w:t>
            </w:r>
          </w:p>
        </w:tc>
        <w:tc>
          <w:tcPr>
            <w:tcW w:w="426" w:type="pct"/>
            <w:tcBorders>
              <w:top w:val="outset" w:color="auto" w:sz="6" w:space="0"/>
              <w:left w:val="outset" w:color="auto" w:sz="6" w:space="0"/>
              <w:bottom w:val="outset" w:color="auto" w:sz="6" w:space="0"/>
              <w:right w:val="outset" w:color="auto" w:sz="6" w:space="0"/>
            </w:tcBorders>
            <w:vAlign w:val="center"/>
          </w:tcPr>
          <w:p w14:paraId="6529AA85">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10</w:t>
            </w:r>
            <w:r>
              <w:rPr>
                <w:rFonts w:ascii="Times New Roman" w:hAnsi="仿宋" w:eastAsia="仿宋" w:cs="Times New Roman"/>
                <w:color w:val="000000"/>
                <w:sz w:val="21"/>
                <w:szCs w:val="21"/>
              </w:rPr>
              <w:t>分</w:t>
            </w:r>
          </w:p>
        </w:tc>
        <w:tc>
          <w:tcPr>
            <w:tcW w:w="3718" w:type="pct"/>
            <w:tcBorders>
              <w:top w:val="outset" w:color="auto" w:sz="6" w:space="0"/>
              <w:left w:val="outset" w:color="auto" w:sz="6" w:space="0"/>
              <w:bottom w:val="outset" w:color="auto" w:sz="6" w:space="0"/>
              <w:right w:val="outset" w:color="auto" w:sz="6" w:space="0"/>
            </w:tcBorders>
            <w:vAlign w:val="center"/>
          </w:tcPr>
          <w:p w14:paraId="70A1B620">
            <w:pPr>
              <w:adjustRightInd/>
              <w:snapToGrid/>
              <w:spacing w:after="0"/>
              <w:jc w:val="both"/>
              <w:rPr>
                <w:rFonts w:ascii="Times New Roman" w:hAnsi="Times New Roman" w:eastAsia="仿宋" w:cs="Times New Roman"/>
                <w:color w:val="000000"/>
                <w:sz w:val="20"/>
                <w:szCs w:val="21"/>
              </w:rPr>
            </w:pPr>
            <w:r>
              <w:rPr>
                <w:rFonts w:ascii="Times New Roman" w:hAnsi="仿宋" w:eastAsia="仿宋" w:cs="Times New Roman"/>
                <w:color w:val="000000"/>
                <w:sz w:val="20"/>
                <w:szCs w:val="21"/>
              </w:rPr>
              <w:t>响应人近年来承担</w:t>
            </w:r>
            <w:r>
              <w:rPr>
                <w:rFonts w:hint="eastAsia" w:ascii="Times New Roman" w:hAnsi="仿宋" w:eastAsia="仿宋" w:cs="Times New Roman"/>
                <w:color w:val="000000"/>
                <w:sz w:val="20"/>
                <w:szCs w:val="21"/>
              </w:rPr>
              <w:t>同类型</w:t>
            </w:r>
            <w:r>
              <w:rPr>
                <w:rFonts w:ascii="Times New Roman" w:hAnsi="仿宋" w:eastAsia="仿宋" w:cs="Times New Roman"/>
                <w:color w:val="000000"/>
                <w:sz w:val="20"/>
                <w:szCs w:val="21"/>
              </w:rPr>
              <w:t>相关业绩数量，每个业绩得</w:t>
            </w:r>
            <w:r>
              <w:rPr>
                <w:rFonts w:ascii="Times New Roman" w:hAnsi="Times New Roman" w:eastAsia="仿宋" w:cs="Times New Roman"/>
                <w:color w:val="000000"/>
                <w:sz w:val="20"/>
                <w:szCs w:val="21"/>
              </w:rPr>
              <w:t>2</w:t>
            </w:r>
            <w:r>
              <w:rPr>
                <w:rFonts w:ascii="Times New Roman" w:hAnsi="仿宋" w:eastAsia="仿宋" w:cs="Times New Roman"/>
                <w:color w:val="000000"/>
                <w:sz w:val="20"/>
                <w:szCs w:val="21"/>
              </w:rPr>
              <w:t>分，满分</w:t>
            </w:r>
            <w:r>
              <w:rPr>
                <w:rFonts w:ascii="Times New Roman" w:hAnsi="Times New Roman" w:eastAsia="仿宋" w:cs="Times New Roman"/>
                <w:color w:val="000000"/>
                <w:sz w:val="20"/>
                <w:szCs w:val="21"/>
              </w:rPr>
              <w:t>10</w:t>
            </w:r>
            <w:r>
              <w:rPr>
                <w:rFonts w:ascii="Times New Roman" w:hAnsi="仿宋" w:eastAsia="仿宋" w:cs="Times New Roman"/>
                <w:color w:val="000000"/>
                <w:sz w:val="20"/>
                <w:szCs w:val="21"/>
              </w:rPr>
              <w:t>分。</w:t>
            </w:r>
          </w:p>
          <w:p w14:paraId="3C1CECB8">
            <w:pPr>
              <w:adjustRightInd/>
              <w:snapToGrid/>
              <w:spacing w:after="0"/>
              <w:jc w:val="both"/>
              <w:rPr>
                <w:rFonts w:ascii="Times New Roman" w:hAnsi="Times New Roman" w:eastAsia="仿宋" w:cs="Times New Roman"/>
                <w:color w:val="000000"/>
                <w:sz w:val="20"/>
                <w:szCs w:val="21"/>
              </w:rPr>
            </w:pPr>
            <w:r>
              <w:rPr>
                <w:rFonts w:ascii="Times New Roman" w:hAnsi="仿宋" w:eastAsia="仿宋" w:cs="Times New Roman"/>
                <w:color w:val="000000"/>
                <w:sz w:val="20"/>
                <w:szCs w:val="21"/>
              </w:rPr>
              <w:t>注：提供中标</w:t>
            </w:r>
            <w:r>
              <w:rPr>
                <w:rFonts w:ascii="Times New Roman" w:hAnsi="Times New Roman" w:eastAsia="仿宋" w:cs="Times New Roman"/>
                <w:color w:val="000000"/>
                <w:sz w:val="20"/>
                <w:szCs w:val="21"/>
              </w:rPr>
              <w:t>/</w:t>
            </w:r>
            <w:r>
              <w:rPr>
                <w:rFonts w:ascii="Times New Roman" w:hAnsi="仿宋" w:eastAsia="仿宋" w:cs="Times New Roman"/>
                <w:color w:val="000000"/>
                <w:sz w:val="20"/>
                <w:szCs w:val="21"/>
              </w:rPr>
              <w:t>成交通知书或合同关键页等证明材料复印件。未按上述要求提供或评标委员会无法判定的业绩证明文件视为无效业绩。</w:t>
            </w:r>
          </w:p>
        </w:tc>
      </w:tr>
      <w:tr w14:paraId="29350DD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325" w:type="pct"/>
            <w:tcBorders>
              <w:top w:val="outset" w:color="auto" w:sz="6" w:space="0"/>
              <w:left w:val="outset" w:color="auto" w:sz="6" w:space="0"/>
              <w:bottom w:val="outset" w:color="auto" w:sz="6" w:space="0"/>
              <w:right w:val="outset" w:color="auto" w:sz="6" w:space="0"/>
            </w:tcBorders>
            <w:vAlign w:val="center"/>
          </w:tcPr>
          <w:p w14:paraId="527890E8">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5</w:t>
            </w:r>
          </w:p>
        </w:tc>
        <w:tc>
          <w:tcPr>
            <w:tcW w:w="531" w:type="pct"/>
            <w:tcBorders>
              <w:top w:val="outset" w:color="auto" w:sz="6" w:space="0"/>
              <w:left w:val="outset" w:color="auto" w:sz="6" w:space="0"/>
              <w:bottom w:val="outset" w:color="auto" w:sz="6" w:space="0"/>
              <w:right w:val="outset" w:color="auto" w:sz="6" w:space="0"/>
            </w:tcBorders>
            <w:vAlign w:val="center"/>
          </w:tcPr>
          <w:p w14:paraId="7873CC06">
            <w:pPr>
              <w:adjustRightInd/>
              <w:snapToGrid/>
              <w:spacing w:after="0"/>
              <w:jc w:val="center"/>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服务方案</w:t>
            </w:r>
          </w:p>
        </w:tc>
        <w:tc>
          <w:tcPr>
            <w:tcW w:w="426" w:type="pct"/>
            <w:tcBorders>
              <w:top w:val="outset" w:color="auto" w:sz="6" w:space="0"/>
              <w:left w:val="outset" w:color="auto" w:sz="6" w:space="0"/>
              <w:bottom w:val="outset" w:color="auto" w:sz="6" w:space="0"/>
              <w:right w:val="outset" w:color="auto" w:sz="6" w:space="0"/>
            </w:tcBorders>
            <w:vAlign w:val="center"/>
          </w:tcPr>
          <w:p w14:paraId="3504C67D">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10</w:t>
            </w:r>
            <w:r>
              <w:rPr>
                <w:rFonts w:ascii="Times New Roman" w:hAnsi="仿宋" w:eastAsia="仿宋" w:cs="Times New Roman"/>
                <w:color w:val="000000"/>
                <w:sz w:val="21"/>
                <w:szCs w:val="21"/>
              </w:rPr>
              <w:t>分</w:t>
            </w:r>
          </w:p>
        </w:tc>
        <w:tc>
          <w:tcPr>
            <w:tcW w:w="3718" w:type="pct"/>
            <w:tcBorders>
              <w:top w:val="outset" w:color="auto" w:sz="6" w:space="0"/>
              <w:left w:val="outset" w:color="auto" w:sz="6" w:space="0"/>
              <w:bottom w:val="outset" w:color="auto" w:sz="6" w:space="0"/>
              <w:right w:val="outset" w:color="auto" w:sz="6" w:space="0"/>
            </w:tcBorders>
            <w:vAlign w:val="center"/>
          </w:tcPr>
          <w:p w14:paraId="5CE7CA46">
            <w:pPr>
              <w:adjustRightInd/>
              <w:snapToGrid/>
              <w:spacing w:after="0"/>
              <w:jc w:val="both"/>
              <w:rPr>
                <w:rFonts w:ascii="Times New Roman" w:hAnsi="Times New Roman" w:eastAsia="仿宋" w:cs="Times New Roman"/>
                <w:color w:val="000000"/>
                <w:sz w:val="20"/>
                <w:szCs w:val="21"/>
              </w:rPr>
            </w:pPr>
            <w:r>
              <w:rPr>
                <w:rFonts w:ascii="Times New Roman" w:hAnsi="仿宋" w:eastAsia="仿宋" w:cs="Times New Roman"/>
                <w:color w:val="000000"/>
                <w:sz w:val="20"/>
                <w:szCs w:val="21"/>
              </w:rPr>
              <w:t>根据响应人所作响应文件中对本项目实施方案的完整性、合理性、可操作性及详细程度进行综合比较评分，满分为</w:t>
            </w:r>
            <w:r>
              <w:rPr>
                <w:rFonts w:ascii="Times New Roman" w:hAnsi="Times New Roman" w:eastAsia="仿宋" w:cs="Times New Roman"/>
                <w:color w:val="000000"/>
                <w:sz w:val="20"/>
                <w:szCs w:val="21"/>
              </w:rPr>
              <w:t>10</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。其中：（1）</w:t>
            </w:r>
            <w:r>
              <w:rPr>
                <w:rFonts w:ascii="Times New Roman" w:hAnsi="仿宋" w:eastAsia="仿宋" w:cs="Times New Roman"/>
                <w:color w:val="000000"/>
                <w:sz w:val="20"/>
                <w:szCs w:val="21"/>
              </w:rPr>
              <w:t>方案完整、合理、详细有效。根据任务要求制定服务方案保证测试顺利开展，测试过程客观、真实和可追溯；保证实验室分析人员满足要求；项目组织严密，管理有效，得</w:t>
            </w:r>
            <w:r>
              <w:rPr>
                <w:rFonts w:ascii="Times New Roman" w:hAnsi="Times New Roman" w:eastAsia="仿宋" w:cs="Times New Roman"/>
                <w:color w:val="000000"/>
                <w:sz w:val="20"/>
                <w:szCs w:val="21"/>
              </w:rPr>
              <w:t>10</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（2）</w:t>
            </w:r>
            <w:r>
              <w:rPr>
                <w:rFonts w:ascii="Times New Roman" w:hAnsi="仿宋" w:eastAsia="仿宋" w:cs="Times New Roman"/>
                <w:color w:val="000000"/>
                <w:sz w:val="20"/>
                <w:szCs w:val="21"/>
              </w:rPr>
              <w:t>方案基本完整。根据任务要求制定服务方案，能基本保证实验室分析人员满足要求；项目组织较具体，管理较有效，得</w:t>
            </w:r>
            <w:r>
              <w:rPr>
                <w:rFonts w:ascii="Times New Roman" w:hAnsi="Times New Roman" w:eastAsia="仿宋" w:cs="Times New Roman"/>
                <w:color w:val="000000"/>
                <w:sz w:val="20"/>
                <w:szCs w:val="21"/>
              </w:rPr>
              <w:t>5</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（3）</w:t>
            </w:r>
            <w:r>
              <w:rPr>
                <w:rFonts w:ascii="Times New Roman" w:hAnsi="仿宋" w:eastAsia="仿宋" w:cs="Times New Roman"/>
                <w:color w:val="000000"/>
                <w:sz w:val="20"/>
                <w:szCs w:val="21"/>
              </w:rPr>
              <w:t>未提供服务方案，得</w:t>
            </w:r>
            <w:r>
              <w:rPr>
                <w:rFonts w:ascii="Times New Roman" w:hAnsi="Times New Roman" w:eastAsia="仿宋" w:cs="Times New Roman"/>
                <w:color w:val="000000"/>
                <w:sz w:val="20"/>
                <w:szCs w:val="21"/>
              </w:rPr>
              <w:t>0</w:t>
            </w:r>
            <w:r>
              <w:rPr>
                <w:rFonts w:ascii="Times New Roman" w:hAnsi="仿宋" w:eastAsia="仿宋" w:cs="Times New Roman"/>
                <w:color w:val="000000"/>
                <w:sz w:val="20"/>
                <w:szCs w:val="21"/>
              </w:rPr>
              <w:t>分。</w:t>
            </w:r>
          </w:p>
        </w:tc>
      </w:tr>
      <w:tr w14:paraId="32835FB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325" w:type="pct"/>
            <w:tcBorders>
              <w:top w:val="outset" w:color="auto" w:sz="6" w:space="0"/>
              <w:left w:val="outset" w:color="auto" w:sz="6" w:space="0"/>
              <w:bottom w:val="outset" w:color="auto" w:sz="6" w:space="0"/>
              <w:right w:val="outset" w:color="auto" w:sz="6" w:space="0"/>
            </w:tcBorders>
            <w:vAlign w:val="center"/>
          </w:tcPr>
          <w:p w14:paraId="54E79D6D">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6</w:t>
            </w:r>
          </w:p>
        </w:tc>
        <w:tc>
          <w:tcPr>
            <w:tcW w:w="531" w:type="pct"/>
            <w:tcBorders>
              <w:top w:val="outset" w:color="auto" w:sz="6" w:space="0"/>
              <w:left w:val="outset" w:color="auto" w:sz="6" w:space="0"/>
              <w:bottom w:val="outset" w:color="auto" w:sz="6" w:space="0"/>
              <w:right w:val="outset" w:color="auto" w:sz="6" w:space="0"/>
            </w:tcBorders>
            <w:vAlign w:val="center"/>
          </w:tcPr>
          <w:p w14:paraId="2606C2AA">
            <w:pPr>
              <w:adjustRightInd/>
              <w:snapToGrid/>
              <w:spacing w:after="0"/>
              <w:jc w:val="center"/>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进度保障措施</w:t>
            </w:r>
          </w:p>
        </w:tc>
        <w:tc>
          <w:tcPr>
            <w:tcW w:w="426" w:type="pct"/>
            <w:tcBorders>
              <w:top w:val="outset" w:color="auto" w:sz="6" w:space="0"/>
              <w:left w:val="outset" w:color="auto" w:sz="6" w:space="0"/>
              <w:bottom w:val="outset" w:color="auto" w:sz="6" w:space="0"/>
              <w:right w:val="outset" w:color="auto" w:sz="6" w:space="0"/>
            </w:tcBorders>
            <w:vAlign w:val="center"/>
          </w:tcPr>
          <w:p w14:paraId="54059146">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tc>
        <w:tc>
          <w:tcPr>
            <w:tcW w:w="3718" w:type="pct"/>
            <w:tcBorders>
              <w:top w:val="outset" w:color="auto" w:sz="6" w:space="0"/>
              <w:left w:val="outset" w:color="auto" w:sz="6" w:space="0"/>
              <w:bottom w:val="outset" w:color="auto" w:sz="6" w:space="0"/>
              <w:right w:val="outset" w:color="auto" w:sz="6" w:space="0"/>
            </w:tcBorders>
            <w:vAlign w:val="center"/>
          </w:tcPr>
          <w:p w14:paraId="2C8EFA14">
            <w:pPr>
              <w:adjustRightInd/>
              <w:snapToGrid/>
              <w:spacing w:after="0"/>
              <w:jc w:val="both"/>
              <w:rPr>
                <w:rFonts w:ascii="Times New Roman" w:hAnsi="Times New Roman" w:eastAsia="仿宋" w:cs="Times New Roman"/>
                <w:color w:val="000000"/>
                <w:sz w:val="20"/>
                <w:szCs w:val="21"/>
              </w:rPr>
            </w:pPr>
            <w:r>
              <w:rPr>
                <w:rFonts w:hint="eastAsia" w:ascii="Times New Roman" w:hAnsi="仿宋" w:eastAsia="仿宋" w:cs="Times New Roman"/>
                <w:color w:val="000000"/>
                <w:sz w:val="20"/>
                <w:szCs w:val="21"/>
              </w:rPr>
              <w:t>（1）</w:t>
            </w:r>
            <w:r>
              <w:rPr>
                <w:rFonts w:ascii="Times New Roman" w:hAnsi="仿宋" w:eastAsia="仿宋" w:cs="Times New Roman"/>
                <w:color w:val="000000"/>
                <w:sz w:val="20"/>
                <w:szCs w:val="21"/>
              </w:rPr>
              <w:t>针对本项目制定进度保障措施，时间进度计划详细、合理，得</w:t>
            </w:r>
            <w:r>
              <w:rPr>
                <w:rFonts w:ascii="Times New Roman" w:hAnsi="Times New Roman" w:eastAsia="仿宋" w:cs="Times New Roman"/>
                <w:color w:val="000000"/>
                <w:sz w:val="20"/>
                <w:szCs w:val="21"/>
              </w:rPr>
              <w:t>5</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（2）</w:t>
            </w:r>
            <w:r>
              <w:rPr>
                <w:rFonts w:ascii="Times New Roman" w:hAnsi="仿宋" w:eastAsia="仿宋" w:cs="Times New Roman"/>
                <w:color w:val="000000"/>
                <w:sz w:val="20"/>
                <w:szCs w:val="21"/>
              </w:rPr>
              <w:t>针对本项目制定进度保障措施，时间进度计划基本合理，得</w:t>
            </w:r>
            <w:r>
              <w:rPr>
                <w:rFonts w:ascii="Times New Roman" w:hAnsi="Times New Roman" w:eastAsia="仿宋" w:cs="Times New Roman"/>
                <w:color w:val="000000"/>
                <w:sz w:val="20"/>
                <w:szCs w:val="21"/>
              </w:rPr>
              <w:t>3</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（3）</w:t>
            </w:r>
            <w:r>
              <w:rPr>
                <w:rFonts w:ascii="Times New Roman" w:hAnsi="仿宋" w:eastAsia="仿宋" w:cs="Times New Roman"/>
                <w:color w:val="000000"/>
                <w:sz w:val="20"/>
                <w:szCs w:val="21"/>
              </w:rPr>
              <w:t>进度保障措施不合理，或未提供，得</w:t>
            </w:r>
            <w:r>
              <w:rPr>
                <w:rFonts w:ascii="Times New Roman" w:hAnsi="Times New Roman" w:eastAsia="仿宋" w:cs="Times New Roman"/>
                <w:color w:val="000000"/>
                <w:sz w:val="20"/>
                <w:szCs w:val="21"/>
              </w:rPr>
              <w:t>0</w:t>
            </w:r>
            <w:r>
              <w:rPr>
                <w:rFonts w:ascii="Times New Roman" w:hAnsi="仿宋" w:eastAsia="仿宋" w:cs="Times New Roman"/>
                <w:color w:val="000000"/>
                <w:sz w:val="20"/>
                <w:szCs w:val="21"/>
              </w:rPr>
              <w:t>分。</w:t>
            </w:r>
          </w:p>
        </w:tc>
      </w:tr>
      <w:tr w14:paraId="035C8B8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325" w:type="pct"/>
            <w:tcBorders>
              <w:top w:val="outset" w:color="auto" w:sz="6" w:space="0"/>
              <w:left w:val="outset" w:color="auto" w:sz="6" w:space="0"/>
              <w:bottom w:val="outset" w:color="auto" w:sz="6" w:space="0"/>
              <w:right w:val="outset" w:color="auto" w:sz="6" w:space="0"/>
            </w:tcBorders>
            <w:vAlign w:val="center"/>
          </w:tcPr>
          <w:p w14:paraId="0CBB69C1">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7</w:t>
            </w:r>
          </w:p>
        </w:tc>
        <w:tc>
          <w:tcPr>
            <w:tcW w:w="531" w:type="pct"/>
            <w:tcBorders>
              <w:top w:val="outset" w:color="auto" w:sz="6" w:space="0"/>
              <w:left w:val="outset" w:color="auto" w:sz="6" w:space="0"/>
              <w:bottom w:val="outset" w:color="auto" w:sz="6" w:space="0"/>
              <w:right w:val="outset" w:color="auto" w:sz="6" w:space="0"/>
            </w:tcBorders>
            <w:vAlign w:val="center"/>
          </w:tcPr>
          <w:p w14:paraId="331D09D4">
            <w:pPr>
              <w:adjustRightInd/>
              <w:snapToGrid/>
              <w:spacing w:after="0"/>
              <w:jc w:val="center"/>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应急处置方案</w:t>
            </w:r>
          </w:p>
        </w:tc>
        <w:tc>
          <w:tcPr>
            <w:tcW w:w="426" w:type="pct"/>
            <w:tcBorders>
              <w:top w:val="outset" w:color="auto" w:sz="6" w:space="0"/>
              <w:left w:val="outset" w:color="auto" w:sz="6" w:space="0"/>
              <w:bottom w:val="outset" w:color="auto" w:sz="6" w:space="0"/>
              <w:right w:val="outset" w:color="auto" w:sz="6" w:space="0"/>
            </w:tcBorders>
            <w:vAlign w:val="center"/>
          </w:tcPr>
          <w:p w14:paraId="2F6E9E8F">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tc>
        <w:tc>
          <w:tcPr>
            <w:tcW w:w="3718" w:type="pct"/>
            <w:tcBorders>
              <w:top w:val="outset" w:color="auto" w:sz="6" w:space="0"/>
              <w:left w:val="outset" w:color="auto" w:sz="6" w:space="0"/>
              <w:bottom w:val="outset" w:color="auto" w:sz="6" w:space="0"/>
              <w:right w:val="outset" w:color="auto" w:sz="6" w:space="0"/>
            </w:tcBorders>
            <w:vAlign w:val="center"/>
          </w:tcPr>
          <w:p w14:paraId="740A1012">
            <w:pPr>
              <w:adjustRightInd/>
              <w:snapToGrid/>
              <w:spacing w:after="0"/>
              <w:jc w:val="both"/>
              <w:rPr>
                <w:rFonts w:ascii="Times New Roman" w:hAnsi="Times New Roman" w:eastAsia="仿宋" w:cs="Times New Roman"/>
                <w:color w:val="000000"/>
                <w:sz w:val="20"/>
                <w:szCs w:val="21"/>
              </w:rPr>
            </w:pPr>
            <w:r>
              <w:rPr>
                <w:rFonts w:hint="eastAsia" w:ascii="Times New Roman" w:hAnsi="仿宋" w:eastAsia="仿宋" w:cs="Times New Roman"/>
                <w:color w:val="000000"/>
                <w:sz w:val="20"/>
                <w:szCs w:val="21"/>
              </w:rPr>
              <w:t>（1）</w:t>
            </w:r>
            <w:r>
              <w:rPr>
                <w:rFonts w:ascii="Times New Roman" w:hAnsi="仿宋" w:eastAsia="仿宋" w:cs="Times New Roman"/>
                <w:color w:val="000000"/>
                <w:sz w:val="20"/>
                <w:szCs w:val="21"/>
              </w:rPr>
              <w:t>应急处置方案内容详细全面、严谨、科学合理、针对性强得</w:t>
            </w:r>
            <w:r>
              <w:rPr>
                <w:rFonts w:ascii="Times New Roman" w:hAnsi="Times New Roman" w:eastAsia="仿宋" w:cs="Times New Roman"/>
                <w:color w:val="000000"/>
                <w:sz w:val="20"/>
                <w:szCs w:val="21"/>
              </w:rPr>
              <w:t>5</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（2）</w:t>
            </w:r>
            <w:r>
              <w:rPr>
                <w:rFonts w:ascii="Times New Roman" w:hAnsi="仿宋" w:eastAsia="仿宋" w:cs="Times New Roman"/>
                <w:color w:val="000000"/>
                <w:sz w:val="20"/>
                <w:szCs w:val="21"/>
              </w:rPr>
              <w:t>应急处置方案内容较详细全面、较严谨、较科学合理、针对性较强得</w:t>
            </w:r>
            <w:r>
              <w:rPr>
                <w:rFonts w:ascii="Times New Roman" w:hAnsi="Times New Roman" w:eastAsia="仿宋" w:cs="Times New Roman"/>
                <w:color w:val="000000"/>
                <w:sz w:val="20"/>
                <w:szCs w:val="21"/>
              </w:rPr>
              <w:t>3</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（3）</w:t>
            </w:r>
            <w:r>
              <w:rPr>
                <w:rFonts w:ascii="Times New Roman" w:hAnsi="仿宋" w:eastAsia="仿宋" w:cs="Times New Roman"/>
                <w:color w:val="000000"/>
                <w:sz w:val="20"/>
                <w:szCs w:val="21"/>
              </w:rPr>
              <w:t>应急处置方案内容一般、存在缺陷得</w:t>
            </w:r>
            <w:r>
              <w:rPr>
                <w:rFonts w:ascii="Times New Roman" w:hAnsi="Times New Roman" w:eastAsia="仿宋" w:cs="Times New Roman"/>
                <w:color w:val="000000"/>
                <w:sz w:val="20"/>
                <w:szCs w:val="21"/>
              </w:rPr>
              <w:t>0</w:t>
            </w:r>
            <w:r>
              <w:rPr>
                <w:rFonts w:ascii="Times New Roman" w:hAnsi="仿宋" w:eastAsia="仿宋" w:cs="Times New Roman"/>
                <w:color w:val="000000"/>
                <w:sz w:val="20"/>
                <w:szCs w:val="21"/>
              </w:rPr>
              <w:t>分</w:t>
            </w:r>
          </w:p>
        </w:tc>
      </w:tr>
      <w:tr w14:paraId="7EB9947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325" w:type="pct"/>
            <w:tcBorders>
              <w:top w:val="outset" w:color="auto" w:sz="6" w:space="0"/>
              <w:left w:val="outset" w:color="auto" w:sz="6" w:space="0"/>
              <w:bottom w:val="outset" w:color="auto" w:sz="6" w:space="0"/>
              <w:right w:val="outset" w:color="auto" w:sz="6" w:space="0"/>
            </w:tcBorders>
            <w:vAlign w:val="center"/>
          </w:tcPr>
          <w:p w14:paraId="12AAAF76">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8</w:t>
            </w:r>
          </w:p>
        </w:tc>
        <w:tc>
          <w:tcPr>
            <w:tcW w:w="531" w:type="pct"/>
            <w:tcBorders>
              <w:top w:val="outset" w:color="auto" w:sz="6" w:space="0"/>
              <w:left w:val="outset" w:color="auto" w:sz="6" w:space="0"/>
              <w:bottom w:val="outset" w:color="auto" w:sz="6" w:space="0"/>
              <w:right w:val="outset" w:color="auto" w:sz="6" w:space="0"/>
            </w:tcBorders>
            <w:vAlign w:val="center"/>
          </w:tcPr>
          <w:p w14:paraId="25490C5D">
            <w:pPr>
              <w:adjustRightInd/>
              <w:snapToGrid/>
              <w:spacing w:after="0"/>
              <w:jc w:val="center"/>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质量控制方案</w:t>
            </w:r>
          </w:p>
        </w:tc>
        <w:tc>
          <w:tcPr>
            <w:tcW w:w="426" w:type="pct"/>
            <w:tcBorders>
              <w:top w:val="outset" w:color="auto" w:sz="6" w:space="0"/>
              <w:left w:val="outset" w:color="auto" w:sz="6" w:space="0"/>
              <w:bottom w:val="outset" w:color="auto" w:sz="6" w:space="0"/>
              <w:right w:val="outset" w:color="auto" w:sz="6" w:space="0"/>
            </w:tcBorders>
            <w:vAlign w:val="center"/>
          </w:tcPr>
          <w:p w14:paraId="794DA034">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tc>
        <w:tc>
          <w:tcPr>
            <w:tcW w:w="3718" w:type="pct"/>
            <w:tcBorders>
              <w:top w:val="outset" w:color="auto" w:sz="6" w:space="0"/>
              <w:left w:val="outset" w:color="auto" w:sz="6" w:space="0"/>
              <w:bottom w:val="outset" w:color="auto" w:sz="6" w:space="0"/>
              <w:right w:val="outset" w:color="auto" w:sz="6" w:space="0"/>
            </w:tcBorders>
            <w:vAlign w:val="center"/>
          </w:tcPr>
          <w:p w14:paraId="2418E3CA">
            <w:pPr>
              <w:adjustRightInd/>
              <w:snapToGrid/>
              <w:spacing w:after="0"/>
              <w:jc w:val="both"/>
              <w:rPr>
                <w:rFonts w:ascii="Times New Roman" w:hAnsi="Times New Roman" w:eastAsia="仿宋" w:cs="Times New Roman"/>
                <w:color w:val="000000"/>
                <w:sz w:val="20"/>
                <w:szCs w:val="21"/>
              </w:rPr>
            </w:pPr>
            <w:r>
              <w:rPr>
                <w:rFonts w:ascii="Times New Roman" w:hAnsi="仿宋" w:eastAsia="仿宋" w:cs="Times New Roman"/>
                <w:color w:val="000000"/>
                <w:sz w:val="20"/>
                <w:szCs w:val="21"/>
              </w:rPr>
              <w:t>根据响应人在响应文件中是否详细说明质量水平和质量控制措施评分，满分为</w:t>
            </w:r>
            <w:r>
              <w:rPr>
                <w:rFonts w:ascii="Times New Roman" w:hAnsi="Times New Roman" w:eastAsia="仿宋" w:cs="Times New Roman"/>
                <w:color w:val="000000"/>
                <w:sz w:val="20"/>
                <w:szCs w:val="21"/>
              </w:rPr>
              <w:t>5</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。其中：</w:t>
            </w:r>
            <w:r>
              <w:rPr>
                <w:rFonts w:ascii="Times New Roman" w:hAnsi="仿宋" w:eastAsia="仿宋" w:cs="Times New Roman"/>
                <w:color w:val="000000"/>
                <w:sz w:val="20"/>
                <w:szCs w:val="21"/>
              </w:rPr>
              <w:t>（</w:t>
            </w:r>
            <w:r>
              <w:rPr>
                <w:rFonts w:ascii="Times New Roman" w:hAnsi="Times New Roman" w:eastAsia="仿宋" w:cs="Times New Roman"/>
                <w:color w:val="000000"/>
                <w:sz w:val="20"/>
                <w:szCs w:val="21"/>
              </w:rPr>
              <w:t>1</w:t>
            </w:r>
            <w:r>
              <w:rPr>
                <w:rFonts w:ascii="Times New Roman" w:hAnsi="仿宋" w:eastAsia="仿宋" w:cs="Times New Roman"/>
                <w:color w:val="000000"/>
                <w:sz w:val="20"/>
                <w:szCs w:val="21"/>
              </w:rPr>
              <w:t>）针对本项目制定了详细具体的质量控制措施，质控手段完全满足监测需求，得</w:t>
            </w:r>
            <w:r>
              <w:rPr>
                <w:rFonts w:ascii="Times New Roman" w:hAnsi="Times New Roman" w:eastAsia="仿宋" w:cs="Times New Roman"/>
                <w:color w:val="000000"/>
                <w:sz w:val="20"/>
                <w:szCs w:val="21"/>
              </w:rPr>
              <w:t>5</w:t>
            </w:r>
            <w:r>
              <w:rPr>
                <w:rFonts w:ascii="Times New Roman" w:hAnsi="仿宋" w:eastAsia="仿宋" w:cs="Times New Roman"/>
                <w:color w:val="000000"/>
                <w:sz w:val="20"/>
                <w:szCs w:val="21"/>
              </w:rPr>
              <w:t>分；（</w:t>
            </w:r>
            <w:r>
              <w:rPr>
                <w:rFonts w:ascii="Times New Roman" w:hAnsi="Times New Roman" w:eastAsia="仿宋" w:cs="Times New Roman"/>
                <w:color w:val="000000"/>
                <w:sz w:val="20"/>
                <w:szCs w:val="21"/>
              </w:rPr>
              <w:t>2</w:t>
            </w:r>
            <w:r>
              <w:rPr>
                <w:rFonts w:ascii="Times New Roman" w:hAnsi="仿宋" w:eastAsia="仿宋" w:cs="Times New Roman"/>
                <w:color w:val="000000"/>
                <w:sz w:val="20"/>
                <w:szCs w:val="21"/>
              </w:rPr>
              <w:t>）针对本项目指定了基本的质量控制措施，有基本的质控手段，并承诺提供质控报告，得</w:t>
            </w:r>
            <w:r>
              <w:rPr>
                <w:rFonts w:ascii="Times New Roman" w:hAnsi="Times New Roman" w:eastAsia="仿宋" w:cs="Times New Roman"/>
                <w:color w:val="000000"/>
                <w:sz w:val="20"/>
                <w:szCs w:val="21"/>
              </w:rPr>
              <w:t>3</w:t>
            </w:r>
            <w:r>
              <w:rPr>
                <w:rFonts w:ascii="Times New Roman" w:hAnsi="仿宋" w:eastAsia="仿宋" w:cs="Times New Roman"/>
                <w:color w:val="000000"/>
                <w:sz w:val="20"/>
                <w:szCs w:val="21"/>
              </w:rPr>
              <w:t>分；（</w:t>
            </w:r>
            <w:r>
              <w:rPr>
                <w:rFonts w:ascii="Times New Roman" w:hAnsi="Times New Roman" w:eastAsia="仿宋" w:cs="Times New Roman"/>
                <w:color w:val="000000"/>
                <w:sz w:val="20"/>
                <w:szCs w:val="21"/>
              </w:rPr>
              <w:t>3</w:t>
            </w:r>
            <w:r>
              <w:rPr>
                <w:rFonts w:ascii="Times New Roman" w:hAnsi="仿宋" w:eastAsia="仿宋" w:cs="Times New Roman"/>
                <w:color w:val="000000"/>
                <w:sz w:val="20"/>
                <w:szCs w:val="21"/>
              </w:rPr>
              <w:t>）未针对本项目制定质量控制方案，得</w:t>
            </w:r>
            <w:r>
              <w:rPr>
                <w:rFonts w:ascii="Times New Roman" w:hAnsi="Times New Roman" w:eastAsia="仿宋" w:cs="Times New Roman"/>
                <w:color w:val="000000"/>
                <w:sz w:val="20"/>
                <w:szCs w:val="21"/>
              </w:rPr>
              <w:t>0</w:t>
            </w:r>
            <w:r>
              <w:rPr>
                <w:rFonts w:ascii="Times New Roman" w:hAnsi="仿宋" w:eastAsia="仿宋" w:cs="Times New Roman"/>
                <w:color w:val="000000"/>
                <w:sz w:val="20"/>
                <w:szCs w:val="21"/>
              </w:rPr>
              <w:t>分。</w:t>
            </w:r>
          </w:p>
        </w:tc>
      </w:tr>
      <w:tr w14:paraId="19CBE10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325" w:type="pct"/>
            <w:tcBorders>
              <w:top w:val="outset" w:color="auto" w:sz="6" w:space="0"/>
              <w:left w:val="outset" w:color="auto" w:sz="6" w:space="0"/>
              <w:bottom w:val="outset" w:color="auto" w:sz="6" w:space="0"/>
              <w:right w:val="outset" w:color="auto" w:sz="6" w:space="0"/>
            </w:tcBorders>
            <w:vAlign w:val="center"/>
          </w:tcPr>
          <w:p w14:paraId="10CC19C2">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9</w:t>
            </w:r>
          </w:p>
        </w:tc>
        <w:tc>
          <w:tcPr>
            <w:tcW w:w="531" w:type="pct"/>
            <w:tcBorders>
              <w:top w:val="outset" w:color="auto" w:sz="6" w:space="0"/>
              <w:left w:val="outset" w:color="auto" w:sz="6" w:space="0"/>
              <w:bottom w:val="outset" w:color="auto" w:sz="6" w:space="0"/>
              <w:right w:val="outset" w:color="auto" w:sz="6" w:space="0"/>
            </w:tcBorders>
            <w:vAlign w:val="center"/>
          </w:tcPr>
          <w:p w14:paraId="267A5DFC">
            <w:pPr>
              <w:adjustRightInd/>
              <w:snapToGrid/>
              <w:spacing w:after="0"/>
              <w:jc w:val="center"/>
              <w:rPr>
                <w:rFonts w:ascii="Times New Roman" w:hAnsi="Times New Roman" w:eastAsia="仿宋" w:cs="Times New Roman"/>
                <w:color w:val="000000"/>
                <w:sz w:val="21"/>
                <w:szCs w:val="21"/>
              </w:rPr>
            </w:pPr>
            <w:r>
              <w:rPr>
                <w:rFonts w:ascii="Times New Roman" w:hAnsi="仿宋" w:eastAsia="仿宋" w:cs="Times New Roman"/>
                <w:color w:val="000000"/>
                <w:sz w:val="21"/>
                <w:szCs w:val="21"/>
              </w:rPr>
              <w:t>保密方案</w:t>
            </w:r>
          </w:p>
        </w:tc>
        <w:tc>
          <w:tcPr>
            <w:tcW w:w="426" w:type="pct"/>
            <w:tcBorders>
              <w:top w:val="outset" w:color="auto" w:sz="6" w:space="0"/>
              <w:left w:val="outset" w:color="auto" w:sz="6" w:space="0"/>
              <w:bottom w:val="outset" w:color="auto" w:sz="6" w:space="0"/>
              <w:right w:val="outset" w:color="auto" w:sz="6" w:space="0"/>
            </w:tcBorders>
            <w:vAlign w:val="center"/>
          </w:tcPr>
          <w:p w14:paraId="2741839F">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5</w:t>
            </w:r>
            <w:r>
              <w:rPr>
                <w:rFonts w:ascii="Times New Roman" w:hAnsi="仿宋" w:eastAsia="仿宋" w:cs="Times New Roman"/>
                <w:color w:val="000000"/>
                <w:sz w:val="21"/>
                <w:szCs w:val="21"/>
              </w:rPr>
              <w:t>分</w:t>
            </w:r>
          </w:p>
        </w:tc>
        <w:tc>
          <w:tcPr>
            <w:tcW w:w="3718" w:type="pct"/>
            <w:tcBorders>
              <w:top w:val="outset" w:color="auto" w:sz="6" w:space="0"/>
              <w:left w:val="outset" w:color="auto" w:sz="6" w:space="0"/>
              <w:bottom w:val="outset" w:color="auto" w:sz="6" w:space="0"/>
              <w:right w:val="outset" w:color="auto" w:sz="6" w:space="0"/>
            </w:tcBorders>
            <w:vAlign w:val="center"/>
          </w:tcPr>
          <w:p w14:paraId="5A7366DA">
            <w:pPr>
              <w:adjustRightInd/>
              <w:snapToGrid/>
              <w:spacing w:after="0"/>
              <w:jc w:val="both"/>
              <w:rPr>
                <w:rFonts w:ascii="Times New Roman" w:hAnsi="Times New Roman" w:eastAsia="仿宋" w:cs="Times New Roman"/>
                <w:color w:val="000000"/>
                <w:sz w:val="20"/>
                <w:szCs w:val="21"/>
              </w:rPr>
            </w:pPr>
            <w:r>
              <w:rPr>
                <w:rFonts w:hint="eastAsia" w:ascii="Times New Roman" w:hAnsi="仿宋" w:eastAsia="仿宋" w:cs="Times New Roman"/>
                <w:color w:val="000000"/>
                <w:sz w:val="20"/>
                <w:szCs w:val="21"/>
              </w:rPr>
              <w:t>（1）</w:t>
            </w:r>
            <w:r>
              <w:rPr>
                <w:rFonts w:ascii="Times New Roman" w:hAnsi="仿宋" w:eastAsia="仿宋" w:cs="Times New Roman"/>
                <w:color w:val="000000"/>
                <w:sz w:val="20"/>
                <w:szCs w:val="21"/>
              </w:rPr>
              <w:t>响应人能提供完善的秘密信息保护和管理制度，保密保障措施方案完整全面，贴合项目需求，得</w:t>
            </w:r>
            <w:r>
              <w:rPr>
                <w:rFonts w:ascii="Times New Roman" w:hAnsi="Times New Roman" w:eastAsia="仿宋" w:cs="Times New Roman"/>
                <w:color w:val="000000"/>
                <w:sz w:val="20"/>
                <w:szCs w:val="21"/>
              </w:rPr>
              <w:t>5</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（2）</w:t>
            </w:r>
            <w:r>
              <w:rPr>
                <w:rFonts w:ascii="Times New Roman" w:hAnsi="仿宋" w:eastAsia="仿宋" w:cs="Times New Roman"/>
                <w:color w:val="000000"/>
                <w:sz w:val="20"/>
                <w:szCs w:val="21"/>
              </w:rPr>
              <w:t>提供基本完善的秘密信息保护和管理制度，保密保障措施方案合理得当，得</w:t>
            </w:r>
            <w:r>
              <w:rPr>
                <w:rFonts w:ascii="Times New Roman" w:hAnsi="Times New Roman" w:eastAsia="仿宋" w:cs="Times New Roman"/>
                <w:color w:val="000000"/>
                <w:sz w:val="20"/>
                <w:szCs w:val="21"/>
              </w:rPr>
              <w:t>3</w:t>
            </w:r>
            <w:r>
              <w:rPr>
                <w:rFonts w:ascii="Times New Roman" w:hAnsi="仿宋" w:eastAsia="仿宋" w:cs="Times New Roman"/>
                <w:color w:val="000000"/>
                <w:sz w:val="20"/>
                <w:szCs w:val="21"/>
              </w:rPr>
              <w:t>分；</w:t>
            </w:r>
            <w:r>
              <w:rPr>
                <w:rFonts w:hint="eastAsia" w:ascii="Times New Roman" w:hAnsi="仿宋" w:eastAsia="仿宋" w:cs="Times New Roman"/>
                <w:color w:val="000000"/>
                <w:sz w:val="20"/>
                <w:szCs w:val="21"/>
              </w:rPr>
              <w:t>（3）</w:t>
            </w:r>
            <w:r>
              <w:rPr>
                <w:rFonts w:ascii="Times New Roman" w:hAnsi="仿宋" w:eastAsia="仿宋" w:cs="Times New Roman"/>
                <w:color w:val="000000"/>
                <w:sz w:val="20"/>
                <w:szCs w:val="21"/>
              </w:rPr>
              <w:t>未提供保密方案及制度，得</w:t>
            </w:r>
            <w:r>
              <w:rPr>
                <w:rFonts w:ascii="Times New Roman" w:hAnsi="Times New Roman" w:eastAsia="仿宋" w:cs="Times New Roman"/>
                <w:color w:val="000000"/>
                <w:sz w:val="20"/>
                <w:szCs w:val="21"/>
              </w:rPr>
              <w:t>0</w:t>
            </w:r>
            <w:r>
              <w:rPr>
                <w:rFonts w:ascii="Times New Roman" w:hAnsi="仿宋" w:eastAsia="仿宋" w:cs="Times New Roman"/>
                <w:color w:val="000000"/>
                <w:sz w:val="20"/>
                <w:szCs w:val="21"/>
              </w:rPr>
              <w:t>分。</w:t>
            </w:r>
          </w:p>
        </w:tc>
      </w:tr>
      <w:tr w14:paraId="7F3C0E5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325" w:type="pct"/>
            <w:tcBorders>
              <w:top w:val="outset" w:color="auto" w:sz="6" w:space="0"/>
              <w:left w:val="outset" w:color="auto" w:sz="6" w:space="0"/>
              <w:bottom w:val="outset" w:color="auto" w:sz="6" w:space="0"/>
              <w:right w:val="outset" w:color="auto" w:sz="6" w:space="0"/>
            </w:tcBorders>
            <w:vAlign w:val="center"/>
          </w:tcPr>
          <w:p w14:paraId="5C90FEF8">
            <w:pPr>
              <w:adjustRightInd/>
              <w:snapToGrid/>
              <w:spacing w:after="0"/>
              <w:jc w:val="center"/>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10</w:t>
            </w:r>
          </w:p>
        </w:tc>
        <w:tc>
          <w:tcPr>
            <w:tcW w:w="531" w:type="pct"/>
            <w:tcBorders>
              <w:top w:val="outset" w:color="auto" w:sz="6" w:space="0"/>
              <w:left w:val="outset" w:color="auto" w:sz="6" w:space="0"/>
              <w:bottom w:val="outset" w:color="auto" w:sz="6" w:space="0"/>
              <w:right w:val="outset" w:color="auto" w:sz="6" w:space="0"/>
            </w:tcBorders>
            <w:vAlign w:val="center"/>
          </w:tcPr>
          <w:p w14:paraId="343F073E">
            <w:pPr>
              <w:adjustRightInd/>
              <w:snapToGrid/>
              <w:spacing w:after="0"/>
              <w:jc w:val="center"/>
              <w:rPr>
                <w:rFonts w:ascii="Times New Roman" w:hAnsi="Times New Roman" w:eastAsia="仿宋" w:cs="Times New Roman"/>
                <w:sz w:val="21"/>
                <w:szCs w:val="21"/>
              </w:rPr>
            </w:pPr>
            <w:r>
              <w:rPr>
                <w:rFonts w:ascii="Times New Roman" w:hAnsi="仿宋" w:eastAsia="仿宋" w:cs="Times New Roman"/>
                <w:sz w:val="21"/>
                <w:szCs w:val="21"/>
              </w:rPr>
              <w:t>资质要求</w:t>
            </w:r>
          </w:p>
        </w:tc>
        <w:tc>
          <w:tcPr>
            <w:tcW w:w="426" w:type="pct"/>
            <w:tcBorders>
              <w:top w:val="outset" w:color="auto" w:sz="6" w:space="0"/>
              <w:left w:val="outset" w:color="auto" w:sz="6" w:space="0"/>
              <w:bottom w:val="outset" w:color="auto" w:sz="6" w:space="0"/>
              <w:right w:val="outset" w:color="auto" w:sz="6" w:space="0"/>
            </w:tcBorders>
            <w:vAlign w:val="center"/>
          </w:tcPr>
          <w:p w14:paraId="288314D7">
            <w:pPr>
              <w:adjustRightInd/>
              <w:snapToGrid/>
              <w:spacing w:after="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10</w:t>
            </w:r>
            <w:r>
              <w:rPr>
                <w:rFonts w:ascii="Times New Roman" w:hAnsi="仿宋" w:eastAsia="仿宋" w:cs="Times New Roman"/>
                <w:sz w:val="21"/>
                <w:szCs w:val="21"/>
              </w:rPr>
              <w:t>分</w:t>
            </w:r>
          </w:p>
        </w:tc>
        <w:tc>
          <w:tcPr>
            <w:tcW w:w="3718" w:type="pct"/>
            <w:tcBorders>
              <w:top w:val="outset" w:color="auto" w:sz="6" w:space="0"/>
              <w:left w:val="outset" w:color="auto" w:sz="6" w:space="0"/>
              <w:bottom w:val="outset" w:color="auto" w:sz="6" w:space="0"/>
              <w:right w:val="outset" w:color="auto" w:sz="6" w:space="0"/>
            </w:tcBorders>
            <w:vAlign w:val="center"/>
          </w:tcPr>
          <w:p w14:paraId="7820A5BB">
            <w:pPr>
              <w:adjustRightInd/>
              <w:snapToGrid/>
              <w:spacing w:after="0"/>
              <w:jc w:val="both"/>
              <w:rPr>
                <w:rFonts w:ascii="Times New Roman" w:hAnsi="Times New Roman" w:eastAsia="仿宋" w:cs="Times New Roman"/>
                <w:sz w:val="20"/>
                <w:szCs w:val="21"/>
              </w:rPr>
            </w:pPr>
            <w:bookmarkStart w:id="0" w:name="OLE_LINK5"/>
            <w:bookmarkStart w:id="1" w:name="OLE_LINK6"/>
            <w:r>
              <w:rPr>
                <w:rFonts w:hint="eastAsia" w:ascii="Times New Roman" w:hAnsi="仿宋" w:eastAsia="仿宋" w:cs="Times New Roman"/>
                <w:sz w:val="20"/>
                <w:szCs w:val="21"/>
              </w:rPr>
              <w:t>（1）</w:t>
            </w:r>
            <w:r>
              <w:rPr>
                <w:rFonts w:ascii="Times New Roman" w:hAnsi="仿宋" w:eastAsia="仿宋" w:cs="Times New Roman"/>
                <w:sz w:val="20"/>
                <w:szCs w:val="21"/>
              </w:rPr>
              <w:t>具备</w:t>
            </w:r>
            <w:bookmarkEnd w:id="0"/>
            <w:bookmarkEnd w:id="1"/>
            <w:r>
              <w:rPr>
                <w:rFonts w:ascii="Times New Roman" w:hAnsi="仿宋" w:eastAsia="仿宋" w:cs="Times New Roman"/>
                <w:sz w:val="20"/>
                <w:szCs w:val="21"/>
              </w:rPr>
              <w:t>国家级</w:t>
            </w:r>
            <w:bookmarkStart w:id="2" w:name="OLE_LINK3"/>
            <w:bookmarkStart w:id="3" w:name="OLE_LINK4"/>
            <w:r>
              <w:rPr>
                <w:rFonts w:ascii="Times New Roman" w:hAnsi="Times New Roman" w:eastAsia="仿宋" w:cs="Times New Roman"/>
                <w:sz w:val="20"/>
                <w:szCs w:val="21"/>
              </w:rPr>
              <w:t>CMA</w:t>
            </w:r>
            <w:r>
              <w:rPr>
                <w:rFonts w:ascii="Times New Roman" w:hAnsi="仿宋" w:eastAsia="仿宋" w:cs="Times New Roman"/>
                <w:sz w:val="20"/>
                <w:szCs w:val="21"/>
              </w:rPr>
              <w:t>资质</w:t>
            </w:r>
            <w:bookmarkEnd w:id="2"/>
            <w:bookmarkEnd w:id="3"/>
            <w:r>
              <w:rPr>
                <w:rFonts w:ascii="Times New Roman" w:hAnsi="仿宋" w:eastAsia="仿宋" w:cs="Times New Roman"/>
                <w:sz w:val="20"/>
                <w:szCs w:val="21"/>
              </w:rPr>
              <w:t>，</w:t>
            </w:r>
            <w:r>
              <w:rPr>
                <w:rFonts w:hint="eastAsia" w:ascii="Times New Roman" w:hAnsi="Times New Roman" w:eastAsia="仿宋" w:cs="Times New Roman"/>
                <w:sz w:val="20"/>
                <w:szCs w:val="21"/>
              </w:rPr>
              <w:t>10</w:t>
            </w:r>
            <w:r>
              <w:rPr>
                <w:rFonts w:ascii="Times New Roman" w:hAnsi="仿宋" w:eastAsia="仿宋" w:cs="Times New Roman"/>
                <w:sz w:val="20"/>
                <w:szCs w:val="21"/>
              </w:rPr>
              <w:t>分</w:t>
            </w:r>
            <w:r>
              <w:rPr>
                <w:rFonts w:hint="eastAsia" w:ascii="Times New Roman" w:hAnsi="仿宋" w:eastAsia="仿宋" w:cs="Times New Roman"/>
                <w:sz w:val="20"/>
                <w:szCs w:val="21"/>
              </w:rPr>
              <w:t>；（2）</w:t>
            </w:r>
            <w:r>
              <w:rPr>
                <w:rFonts w:ascii="Times New Roman" w:hAnsi="仿宋" w:eastAsia="仿宋" w:cs="Times New Roman"/>
                <w:sz w:val="20"/>
                <w:szCs w:val="21"/>
              </w:rPr>
              <w:t>具备</w:t>
            </w:r>
            <w:r>
              <w:rPr>
                <w:rFonts w:hint="eastAsia" w:ascii="Times New Roman" w:hAnsi="仿宋" w:eastAsia="仿宋" w:cs="Times New Roman"/>
                <w:sz w:val="20"/>
                <w:szCs w:val="21"/>
              </w:rPr>
              <w:t>省级</w:t>
            </w:r>
            <w:r>
              <w:rPr>
                <w:rFonts w:ascii="Times New Roman" w:hAnsi="Times New Roman" w:eastAsia="仿宋" w:cs="Times New Roman"/>
                <w:sz w:val="20"/>
                <w:szCs w:val="21"/>
              </w:rPr>
              <w:t>CMA</w:t>
            </w:r>
            <w:r>
              <w:rPr>
                <w:rFonts w:ascii="Times New Roman" w:hAnsi="仿宋" w:eastAsia="仿宋" w:cs="Times New Roman"/>
                <w:sz w:val="20"/>
                <w:szCs w:val="21"/>
              </w:rPr>
              <w:t>资质</w:t>
            </w:r>
            <w:r>
              <w:rPr>
                <w:rFonts w:hint="eastAsia" w:ascii="Times New Roman" w:hAnsi="仿宋" w:eastAsia="仿宋" w:cs="Times New Roman"/>
                <w:sz w:val="20"/>
                <w:szCs w:val="21"/>
              </w:rPr>
              <w:t>，5分；（3）</w:t>
            </w:r>
            <w:r>
              <w:rPr>
                <w:rFonts w:ascii="Times New Roman" w:hAnsi="仿宋" w:eastAsia="仿宋" w:cs="Times New Roman"/>
                <w:sz w:val="20"/>
                <w:szCs w:val="21"/>
              </w:rPr>
              <w:t>未提供资质证书，得</w:t>
            </w:r>
            <w:r>
              <w:rPr>
                <w:rFonts w:ascii="Times New Roman" w:hAnsi="Times New Roman" w:eastAsia="仿宋" w:cs="Times New Roman"/>
                <w:sz w:val="20"/>
                <w:szCs w:val="21"/>
              </w:rPr>
              <w:t>0</w:t>
            </w:r>
            <w:r>
              <w:rPr>
                <w:rFonts w:ascii="Times New Roman" w:hAnsi="仿宋" w:eastAsia="仿宋" w:cs="Times New Roman"/>
                <w:sz w:val="20"/>
                <w:szCs w:val="21"/>
              </w:rPr>
              <w:t>分。</w:t>
            </w:r>
          </w:p>
        </w:tc>
      </w:tr>
    </w:tbl>
    <w:p w14:paraId="2DEC910E">
      <w:pPr>
        <w:spacing w:line="220" w:lineRule="atLeast"/>
        <w:jc w:val="both"/>
        <w:rPr>
          <w:rFonts w:ascii="Times New Roman" w:hAnsi="Times New Roman" w:cs="Times New Roma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MicrosoftYaHei-Bold">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372D"/>
    <w:rsid w:val="00033976"/>
    <w:rsid w:val="00061C86"/>
    <w:rsid w:val="00082B81"/>
    <w:rsid w:val="000D2898"/>
    <w:rsid w:val="001B49D6"/>
    <w:rsid w:val="0029063C"/>
    <w:rsid w:val="002C7005"/>
    <w:rsid w:val="00323B43"/>
    <w:rsid w:val="00335EC1"/>
    <w:rsid w:val="003D37D8"/>
    <w:rsid w:val="00426133"/>
    <w:rsid w:val="004358AB"/>
    <w:rsid w:val="004833F7"/>
    <w:rsid w:val="004F2251"/>
    <w:rsid w:val="005C02D8"/>
    <w:rsid w:val="00601263"/>
    <w:rsid w:val="00660EDB"/>
    <w:rsid w:val="006B247D"/>
    <w:rsid w:val="007209E0"/>
    <w:rsid w:val="007A00FB"/>
    <w:rsid w:val="007C5E6F"/>
    <w:rsid w:val="00854E90"/>
    <w:rsid w:val="008977EE"/>
    <w:rsid w:val="008B44DB"/>
    <w:rsid w:val="008B7726"/>
    <w:rsid w:val="008B7D72"/>
    <w:rsid w:val="00A37A53"/>
    <w:rsid w:val="00A71ABB"/>
    <w:rsid w:val="00AF227A"/>
    <w:rsid w:val="00B0171A"/>
    <w:rsid w:val="00B1296A"/>
    <w:rsid w:val="00B131F0"/>
    <w:rsid w:val="00B13C7B"/>
    <w:rsid w:val="00B2778C"/>
    <w:rsid w:val="00B550DB"/>
    <w:rsid w:val="00BC67F0"/>
    <w:rsid w:val="00C4058E"/>
    <w:rsid w:val="00CD38D3"/>
    <w:rsid w:val="00CD5A8F"/>
    <w:rsid w:val="00D31D50"/>
    <w:rsid w:val="00D95E7F"/>
    <w:rsid w:val="00DB63BA"/>
    <w:rsid w:val="00DB6807"/>
    <w:rsid w:val="00DD195E"/>
    <w:rsid w:val="00DE47CE"/>
    <w:rsid w:val="00FD4C21"/>
    <w:rsid w:val="4514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customStyle="1" w:styleId="8">
    <w:name w:val="页眉 Char"/>
    <w:basedOn w:val="6"/>
    <w:link w:val="3"/>
    <w:uiPriority w:val="99"/>
    <w:rPr>
      <w:rFonts w:ascii="Tahoma" w:hAnsi="Tahoma"/>
      <w:sz w:val="18"/>
      <w:szCs w:val="18"/>
    </w:rPr>
  </w:style>
  <w:style w:type="character" w:customStyle="1" w:styleId="9">
    <w:name w:val="页脚 Char"/>
    <w:basedOn w:val="6"/>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1895</Words>
  <Characters>2024</Characters>
  <Lines>21</Lines>
  <Paragraphs>5</Paragraphs>
  <TotalTime>60</TotalTime>
  <ScaleCrop>false</ScaleCrop>
  <LinksUpToDate>false</LinksUpToDate>
  <CharactersWithSpaces>2028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2025-08-18T06:57:00Z</dcterms:created>
  <dc:creator>Administrator</dc:creator>
  <cp:lastModifiedBy>Dechen</cp:lastModifiedBy>
  <cp:lastPrinted>2025-08-19T08:52:00Z</cp:lastPrinted>
  <dcterms:modified xsi:type="dcterms:W3CDTF">2025-08-22T01:30:30Z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eyJoZGlkIjoiNWIzMjMyMjQ0YTlhYTYxMmE0NDg3MGMzOWE5MGVmN2IiLCJ1c2VySWQiOiI3Njk1ODI5NTAifQ==</vt:lpwstr>
  </property>
  <property fmtid="{D5CDD505-2E9C-101B-9397-08002B2CF9AE}" pid="3" name="KSOProductBuildVer">
    <vt:lpwstr>2052-12.1.0.21915</vt:lpwstr>
  </property>
  <property fmtid="{D5CDD505-2E9C-101B-9397-08002B2CF9AE}" pid="4" name="ICV">
    <vt:lpwstr>CB1953DB29504E26A46D59075767E285_13</vt:lpwstr>
  </property>
</Properties>
</file>