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CBF8">
      <w:pPr>
        <w:widowControl w:val="0"/>
        <w:tabs>
          <w:tab w:val="left" w:pos="0"/>
        </w:tabs>
        <w:adjustRightInd w:val="0"/>
        <w:snapToGrid w:val="0"/>
        <w:spacing w:line="600" w:lineRule="exact"/>
        <w:jc w:val="left"/>
        <w:rPr>
          <w:rFonts w:ascii="Times New Roman" w:hAnsi="Times New Roman" w:eastAsia="黑体"/>
          <w:color w:val="000000" w:themeColor="text1"/>
          <w:sz w:val="28"/>
          <w:szCs w:val="28"/>
          <w14:textFill>
            <w14:solidFill>
              <w14:schemeClr w14:val="tx1"/>
            </w14:solidFill>
          </w14:textFill>
        </w:rPr>
      </w:pPr>
      <w:bookmarkStart w:id="0" w:name="_GoBack"/>
      <w:bookmarkEnd w:id="0"/>
      <w:r>
        <w:rPr>
          <w:rFonts w:ascii="Times New Roman" w:hAnsi="Times New Roman" w:eastAsia="黑体"/>
          <w:color w:val="000000" w:themeColor="text1"/>
          <w:sz w:val="28"/>
          <w:szCs w:val="28"/>
          <w14:textFill>
            <w14:solidFill>
              <w14:schemeClr w14:val="tx1"/>
            </w14:solidFill>
          </w14:textFill>
        </w:rPr>
        <w:t>附件2</w:t>
      </w:r>
    </w:p>
    <w:p w14:paraId="2DFBFF77">
      <w:pPr>
        <w:tabs>
          <w:tab w:val="left" w:pos="0"/>
        </w:tabs>
        <w:adjustRightInd w:val="0"/>
        <w:snapToGrid w:val="0"/>
        <w:spacing w:line="600" w:lineRule="exact"/>
        <w:jc w:val="center"/>
        <w:outlineLvl w:val="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仪器设备检定</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lang w:eastAsia="zh-CN"/>
        </w:rPr>
        <w:t>校准技术服务</w:t>
      </w:r>
      <w:r>
        <w:rPr>
          <w:rFonts w:hint="eastAsia" w:ascii="微软雅黑" w:hAnsi="微软雅黑" w:eastAsia="微软雅黑" w:cs="微软雅黑"/>
          <w:sz w:val="32"/>
          <w:szCs w:val="32"/>
        </w:rPr>
        <w:t>项</w:t>
      </w:r>
      <w:r>
        <w:rPr>
          <w:rFonts w:hint="eastAsia" w:ascii="微软雅黑" w:hAnsi="微软雅黑" w:eastAsia="微软雅黑" w:cs="微软雅黑"/>
          <w:sz w:val="32"/>
          <w:szCs w:val="32"/>
          <w:lang w:eastAsia="zh-CN"/>
        </w:rPr>
        <w:t>目综合评分办法</w:t>
      </w:r>
    </w:p>
    <w:p w14:paraId="6E4577E1">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p>
    <w:p w14:paraId="73E1DBAE">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一、评审原则</w:t>
      </w:r>
    </w:p>
    <w:p w14:paraId="2297E76E">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（一）评审小组构成：本项目的评审小组由采购单位组建，成员人数为</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人以上（含</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人）单数。</w:t>
      </w:r>
    </w:p>
    <w:p w14:paraId="12E6C213">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（二）评审依据：本评审办法和供应商提交的响应文件。</w:t>
      </w:r>
    </w:p>
    <w:p w14:paraId="29A3D70A">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（三）评审方法：综合评分法。</w:t>
      </w:r>
    </w:p>
    <w:p w14:paraId="744A4762">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二、评审方法</w:t>
      </w:r>
    </w:p>
    <w:p w14:paraId="09DE9AA6">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供应商提交的报价及资格材料经初核符合要求的进入详评，评审小组将按本评审办法和响应文件为评定依据，采用百分制综合评分法：</w:t>
      </w:r>
    </w:p>
    <w:p w14:paraId="49A7CEEC">
      <w:p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（一）分值分配表</w:t>
      </w:r>
    </w:p>
    <w:tbl>
      <w:tblPr>
        <w:tblStyle w:val="11"/>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3785"/>
        <w:gridCol w:w="3980"/>
      </w:tblGrid>
      <w:tr w14:paraId="31DC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5557FCF6">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序号</w:t>
            </w:r>
          </w:p>
        </w:tc>
        <w:tc>
          <w:tcPr>
            <w:tcW w:w="3785" w:type="dxa"/>
          </w:tcPr>
          <w:p w14:paraId="2690DDE5">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评分因素</w:t>
            </w:r>
          </w:p>
        </w:tc>
        <w:tc>
          <w:tcPr>
            <w:tcW w:w="3980" w:type="dxa"/>
          </w:tcPr>
          <w:p w14:paraId="413CE11C">
            <w:pPr>
              <w:pStyle w:val="14"/>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分值分配</w:t>
            </w:r>
          </w:p>
        </w:tc>
      </w:tr>
      <w:tr w14:paraId="114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46991A35">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3785" w:type="dxa"/>
          </w:tcPr>
          <w:p w14:paraId="108E96B3">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价格分</w:t>
            </w:r>
          </w:p>
        </w:tc>
        <w:tc>
          <w:tcPr>
            <w:tcW w:w="3980" w:type="dxa"/>
          </w:tcPr>
          <w:p w14:paraId="42F47377">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r>
      <w:tr w14:paraId="1CB5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399EC580">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3785" w:type="dxa"/>
          </w:tcPr>
          <w:p w14:paraId="265B761C">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技术分</w:t>
            </w:r>
          </w:p>
        </w:tc>
        <w:tc>
          <w:tcPr>
            <w:tcW w:w="3980" w:type="dxa"/>
          </w:tcPr>
          <w:p w14:paraId="3C197FDF">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r>
      <w:tr w14:paraId="35A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4C9B41E9">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3785" w:type="dxa"/>
          </w:tcPr>
          <w:p w14:paraId="3AA39BF8">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技术支持分</w:t>
            </w:r>
          </w:p>
        </w:tc>
        <w:tc>
          <w:tcPr>
            <w:tcW w:w="3980" w:type="dxa"/>
          </w:tcPr>
          <w:p w14:paraId="1CD2AE28">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r>
      <w:tr w14:paraId="730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274FB236">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3785" w:type="dxa"/>
          </w:tcPr>
          <w:p w14:paraId="7A8F7DEC">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商务分</w:t>
            </w:r>
          </w:p>
        </w:tc>
        <w:tc>
          <w:tcPr>
            <w:tcW w:w="3980" w:type="dxa"/>
          </w:tcPr>
          <w:p w14:paraId="2AD9D6DC">
            <w:pPr>
              <w:pStyle w:val="14"/>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rPr>
            </w:pPr>
            <w:r>
              <w:rPr>
                <w:rFonts w:hint="eastAsia" w:ascii="Times New Roman" w:hAnsi="Times New Roman" w:eastAsia="宋体" w:cs="Times New Roman"/>
                <w:color w:val="000000"/>
                <w:szCs w:val="21"/>
                <w:lang w:val="en-US" w:eastAsia="zh-CN"/>
              </w:rPr>
              <w:t>20</w:t>
            </w:r>
          </w:p>
        </w:tc>
      </w:tr>
      <w:tr w14:paraId="490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tcPr>
          <w:p w14:paraId="57B869DF">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w:t>
            </w:r>
          </w:p>
        </w:tc>
        <w:tc>
          <w:tcPr>
            <w:tcW w:w="3785" w:type="dxa"/>
          </w:tcPr>
          <w:p w14:paraId="31CBCD4A">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合计</w:t>
            </w:r>
          </w:p>
        </w:tc>
        <w:tc>
          <w:tcPr>
            <w:tcW w:w="3980" w:type="dxa"/>
          </w:tcPr>
          <w:p w14:paraId="2ACB7A24">
            <w:pPr>
              <w:pStyle w:val="14"/>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w:t>
            </w:r>
          </w:p>
        </w:tc>
      </w:tr>
    </w:tbl>
    <w:p w14:paraId="1D087F68">
      <w:pPr>
        <w:numPr>
          <w:ilvl w:val="0"/>
          <w:numId w:val="3"/>
        </w:num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评分细则</w:t>
      </w:r>
    </w:p>
    <w:p w14:paraId="00066C2A">
      <w:pPr>
        <w:pStyle w:val="6"/>
        <w:rPr>
          <w:rFonts w:ascii="Times New Roman" w:hAnsi="Times New Roman"/>
        </w:rPr>
      </w:pPr>
    </w:p>
    <w:p w14:paraId="4F2F88FE">
      <w:pPr>
        <w:rPr>
          <w:rFonts w:ascii="Times New Roman" w:hAnsi="Times New Roman"/>
        </w:rPr>
      </w:pPr>
    </w:p>
    <w:p w14:paraId="1590E0F0">
      <w:pPr>
        <w:pStyle w:val="6"/>
        <w:rPr>
          <w:rFonts w:ascii="Times New Roman" w:hAnsi="Times New Roman"/>
        </w:rPr>
      </w:pPr>
    </w:p>
    <w:p w14:paraId="6CC0AA6A">
      <w:pPr>
        <w:rPr>
          <w:rFonts w:ascii="Times New Roman" w:hAnsi="Times New Roman"/>
        </w:rPr>
      </w:pPr>
    </w:p>
    <w:p w14:paraId="026CABB5">
      <w:pPr>
        <w:pStyle w:val="6"/>
        <w:rPr>
          <w:rFonts w:ascii="Times New Roman" w:hAnsi="Times New Roman"/>
        </w:rPr>
      </w:pPr>
    </w:p>
    <w:p w14:paraId="6500CC95">
      <w:pPr>
        <w:rPr>
          <w:rFonts w:ascii="Times New Roman" w:hAnsi="Times New Roman"/>
        </w:rPr>
      </w:pPr>
    </w:p>
    <w:p w14:paraId="06B24325">
      <w:pPr>
        <w:pStyle w:val="6"/>
        <w:rPr>
          <w:rFonts w:ascii="Times New Roman" w:hAnsi="Times New Roman"/>
        </w:rPr>
      </w:pPr>
    </w:p>
    <w:p w14:paraId="10E1F2B2">
      <w:pPr>
        <w:rPr>
          <w:rFonts w:ascii="Times New Roman" w:hAnsi="Times New Roman"/>
        </w:rPr>
      </w:pPr>
    </w:p>
    <w:p w14:paraId="6EAA96A6">
      <w:pPr>
        <w:pStyle w:val="6"/>
        <w:rPr>
          <w:rFonts w:ascii="Times New Roman" w:hAnsi="Times New Roman"/>
        </w:rPr>
      </w:pPr>
    </w:p>
    <w:p w14:paraId="24B91C9E">
      <w:pPr>
        <w:rPr>
          <w:rFonts w:ascii="Times New Roman" w:hAnsi="Times New Roman"/>
        </w:rPr>
      </w:pPr>
    </w:p>
    <w:p w14:paraId="34C77811">
      <w:pPr>
        <w:pStyle w:val="6"/>
        <w:rPr>
          <w:rFonts w:ascii="Times New Roman" w:hAnsi="Times New Roman"/>
        </w:rPr>
      </w:pPr>
    </w:p>
    <w:tbl>
      <w:tblPr>
        <w:tblStyle w:val="10"/>
        <w:tblW w:w="9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8"/>
        <w:gridCol w:w="1558"/>
        <w:gridCol w:w="7016"/>
      </w:tblGrid>
      <w:tr w14:paraId="3FC61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16400E5">
            <w:pPr>
              <w:adjustRightInd w:val="0"/>
              <w:snapToGrid w:val="0"/>
              <w:spacing w:line="320" w:lineRule="exact"/>
              <w:jc w:val="center"/>
              <w:rPr>
                <w:rFonts w:ascii="Times New Roman" w:hAnsi="Times New Roman"/>
                <w:szCs w:val="21"/>
              </w:rPr>
            </w:pPr>
            <w:r>
              <w:rPr>
                <w:rFonts w:ascii="Times New Roman" w:hAnsi="Times New Roman"/>
                <w:szCs w:val="21"/>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4E74F134">
            <w:pPr>
              <w:adjustRightInd w:val="0"/>
              <w:snapToGrid w:val="0"/>
              <w:spacing w:line="320" w:lineRule="exact"/>
              <w:jc w:val="center"/>
              <w:rPr>
                <w:rFonts w:ascii="Times New Roman" w:hAnsi="Times New Roman"/>
                <w:szCs w:val="21"/>
              </w:rPr>
            </w:pPr>
            <w:r>
              <w:rPr>
                <w:rFonts w:ascii="Times New Roman" w:hAnsi="Times New Roman"/>
                <w:szCs w:val="21"/>
              </w:rPr>
              <w:t>评分内容</w:t>
            </w:r>
          </w:p>
        </w:tc>
        <w:tc>
          <w:tcPr>
            <w:tcW w:w="7016" w:type="dxa"/>
            <w:tcBorders>
              <w:top w:val="single" w:color="auto" w:sz="4" w:space="0"/>
              <w:left w:val="single" w:color="auto" w:sz="4" w:space="0"/>
              <w:bottom w:val="single" w:color="auto" w:sz="4" w:space="0"/>
              <w:right w:val="single" w:color="auto" w:sz="4" w:space="0"/>
            </w:tcBorders>
            <w:vAlign w:val="center"/>
          </w:tcPr>
          <w:p w14:paraId="5D2FDABF">
            <w:pPr>
              <w:adjustRightInd w:val="0"/>
              <w:snapToGrid w:val="0"/>
              <w:spacing w:line="320" w:lineRule="exact"/>
              <w:jc w:val="center"/>
              <w:rPr>
                <w:rFonts w:ascii="Times New Roman" w:hAnsi="Times New Roman"/>
                <w:szCs w:val="21"/>
              </w:rPr>
            </w:pPr>
            <w:r>
              <w:rPr>
                <w:rFonts w:ascii="Times New Roman" w:hAnsi="Times New Roman"/>
                <w:szCs w:val="21"/>
              </w:rPr>
              <w:t>评分标准</w:t>
            </w:r>
          </w:p>
        </w:tc>
      </w:tr>
      <w:tr w14:paraId="5D97A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59A0A693">
            <w:pPr>
              <w:adjustRightInd w:val="0"/>
              <w:snapToGrid w:val="0"/>
              <w:spacing w:line="320" w:lineRule="exact"/>
              <w:jc w:val="center"/>
              <w:rPr>
                <w:rFonts w:ascii="Times New Roman" w:hAnsi="Times New Roman"/>
                <w:szCs w:val="21"/>
              </w:rPr>
            </w:pPr>
            <w:r>
              <w:rPr>
                <w:rFonts w:ascii="Times New Roman" w:hAnsi="Times New Roman" w:eastAsia="楷体_GB2312"/>
                <w:bCs/>
                <w:kern w:val="0"/>
                <w:szCs w:val="21"/>
                <w:lang w:val="zh-CN" w:bidi="zh-CN"/>
              </w:rPr>
              <w:t>（</w:t>
            </w:r>
            <w:r>
              <w:rPr>
                <w:rFonts w:ascii="Times New Roman" w:hAnsi="Times New Roman" w:eastAsia="楷体_GB2312"/>
                <w:bCs/>
                <w:kern w:val="0"/>
                <w:szCs w:val="21"/>
                <w:lang w:bidi="zh-CN"/>
              </w:rPr>
              <w:t>一</w:t>
            </w:r>
            <w:r>
              <w:rPr>
                <w:rFonts w:ascii="Times New Roman" w:hAnsi="Times New Roman" w:eastAsia="楷体_GB2312"/>
                <w:bCs/>
                <w:kern w:val="0"/>
                <w:szCs w:val="21"/>
                <w:lang w:val="zh-CN" w:bidi="zh-CN"/>
              </w:rPr>
              <w:t>）价格部分</w:t>
            </w:r>
            <w:r>
              <w:rPr>
                <w:rFonts w:ascii="Times New Roman" w:hAnsi="Times New Roman" w:eastAsia="楷体_GB2312"/>
              </w:rPr>
              <w:t>（满分</w:t>
            </w:r>
            <w:r>
              <w:rPr>
                <w:rFonts w:hint="eastAsia" w:ascii="Times New Roman" w:hAnsi="Times New Roman" w:eastAsia="楷体_GB2312"/>
                <w:lang w:val="en-US" w:eastAsia="zh-CN"/>
              </w:rPr>
              <w:t>10</w:t>
            </w:r>
            <w:r>
              <w:rPr>
                <w:rFonts w:ascii="Times New Roman" w:hAnsi="Times New Roman" w:eastAsia="楷体_GB2312"/>
              </w:rPr>
              <w:t>分）</w:t>
            </w:r>
          </w:p>
        </w:tc>
      </w:tr>
      <w:tr w14:paraId="01944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736AB50">
            <w:pPr>
              <w:adjustRightInd w:val="0"/>
              <w:snapToGrid w:val="0"/>
              <w:spacing w:line="320" w:lineRule="exact"/>
              <w:jc w:val="center"/>
              <w:rPr>
                <w:rFonts w:ascii="Times New Roman" w:hAnsi="Times New Roman"/>
                <w:szCs w:val="21"/>
              </w:rPr>
            </w:pPr>
            <w:r>
              <w:rPr>
                <w:rFonts w:ascii="Times New Roman" w:hAnsi="Times New Roman"/>
                <w:szCs w:val="21"/>
              </w:rPr>
              <w:t>1</w:t>
            </w:r>
          </w:p>
        </w:tc>
        <w:tc>
          <w:tcPr>
            <w:tcW w:w="1558" w:type="dxa"/>
            <w:tcBorders>
              <w:top w:val="single" w:color="auto" w:sz="4" w:space="0"/>
              <w:left w:val="single" w:color="auto" w:sz="4" w:space="0"/>
              <w:bottom w:val="single" w:color="auto" w:sz="4" w:space="0"/>
              <w:right w:val="single" w:color="auto" w:sz="4" w:space="0"/>
            </w:tcBorders>
            <w:vAlign w:val="center"/>
          </w:tcPr>
          <w:p w14:paraId="34F1C301">
            <w:pPr>
              <w:adjustRightInd w:val="0"/>
              <w:snapToGrid w:val="0"/>
              <w:spacing w:line="320" w:lineRule="exact"/>
              <w:jc w:val="center"/>
              <w:rPr>
                <w:rFonts w:ascii="Times New Roman" w:hAnsi="Times New Roman"/>
                <w:bCs/>
                <w:szCs w:val="21"/>
              </w:rPr>
            </w:pPr>
            <w:r>
              <w:rPr>
                <w:rFonts w:ascii="Times New Roman" w:hAnsi="Times New Roman"/>
                <w:bCs/>
                <w:kern w:val="0"/>
                <w:szCs w:val="21"/>
                <w:lang w:val="zh-CN" w:bidi="zh-CN"/>
              </w:rPr>
              <w:t>价格分</w:t>
            </w:r>
            <w:r>
              <w:rPr>
                <w:rFonts w:ascii="Times New Roman" w:hAnsi="Times New Roman"/>
                <w:bCs/>
                <w:kern w:val="0"/>
                <w:szCs w:val="21"/>
                <w:lang w:bidi="zh-CN"/>
              </w:rPr>
              <w:t xml:space="preserve">     </w:t>
            </w:r>
            <w:r>
              <w:rPr>
                <w:rFonts w:ascii="Times New Roman" w:hAnsi="Times New Roman"/>
                <w:bCs/>
                <w:kern w:val="0"/>
                <w:szCs w:val="21"/>
                <w:lang w:val="zh-CN" w:bidi="zh-CN"/>
              </w:rPr>
              <w:t>（满分</w:t>
            </w:r>
            <w:r>
              <w:rPr>
                <w:rFonts w:hint="eastAsia" w:ascii="Times New Roman" w:hAnsi="Times New Roman"/>
                <w:bCs/>
                <w:kern w:val="0"/>
                <w:szCs w:val="21"/>
                <w:lang w:val="en-US" w:bidi="zh-CN"/>
              </w:rPr>
              <w:t>20</w:t>
            </w:r>
            <w:r>
              <w:rPr>
                <w:rFonts w:ascii="Times New Roman" w:hAnsi="Times New Roman"/>
                <w:bCs/>
                <w:kern w:val="0"/>
                <w:szCs w:val="21"/>
                <w:lang w:val="zh-CN" w:bidi="zh-CN"/>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38636CB1">
            <w:pPr>
              <w:widowControl w:val="0"/>
              <w:adjustRightInd w:val="0"/>
              <w:snapToGrid w:val="0"/>
              <w:spacing w:line="320" w:lineRule="exact"/>
              <w:ind w:firstLine="420" w:firstLineChars="200"/>
              <w:jc w:val="center"/>
              <w:rPr>
                <w:rFonts w:hint="default" w:ascii="Times New Roman" w:hAnsi="Times New Roman" w:eastAsia="宋体"/>
                <w:color w:val="000000"/>
                <w:szCs w:val="21"/>
                <w:lang w:val="en-US" w:eastAsia="zh-CN"/>
              </w:rPr>
            </w:pPr>
            <w:r>
              <w:rPr>
                <w:rFonts w:ascii="Times New Roman" w:hAnsi="Times New Roman"/>
                <w:color w:val="000000"/>
                <w:szCs w:val="21"/>
              </w:rPr>
              <w:t>投标报价得分=（全部供应商中的最低报价/某供应商投标报价）×</w:t>
            </w:r>
            <w:r>
              <w:rPr>
                <w:rFonts w:hint="eastAsia" w:ascii="Times New Roman" w:hAnsi="Times New Roman"/>
                <w:color w:val="000000"/>
                <w:szCs w:val="21"/>
                <w:lang w:val="en-US" w:eastAsia="zh-CN"/>
              </w:rPr>
              <w:t>10</w:t>
            </w:r>
          </w:p>
          <w:p w14:paraId="5BF28D40">
            <w:pPr>
              <w:pStyle w:val="7"/>
              <w:adjustRightInd w:val="0"/>
              <w:snapToGrid w:val="0"/>
              <w:spacing w:line="320" w:lineRule="exact"/>
              <w:ind w:firstLine="420" w:firstLineChars="200"/>
              <w:jc w:val="center"/>
              <w:rPr>
                <w:rFonts w:ascii="Times New Roman" w:hAnsi="Times New Roman"/>
                <w:color w:val="000000"/>
                <w:szCs w:val="21"/>
              </w:rPr>
            </w:pPr>
          </w:p>
        </w:tc>
      </w:tr>
      <w:tr w14:paraId="2EA1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3FD9F118">
            <w:pPr>
              <w:adjustRightInd w:val="0"/>
              <w:snapToGrid w:val="0"/>
              <w:spacing w:line="320" w:lineRule="exact"/>
              <w:jc w:val="center"/>
              <w:rPr>
                <w:rFonts w:ascii="Times New Roman" w:hAnsi="Times New Roman"/>
              </w:rPr>
            </w:pPr>
            <w:r>
              <w:rPr>
                <w:rFonts w:ascii="Times New Roman" w:hAnsi="Times New Roman" w:eastAsia="楷体_GB2312"/>
              </w:rPr>
              <w:t>（二）技术部分（满分</w:t>
            </w:r>
            <w:r>
              <w:rPr>
                <w:rFonts w:hint="eastAsia" w:ascii="Times New Roman" w:hAnsi="Times New Roman" w:eastAsia="楷体_GB2312"/>
                <w:lang w:val="en-US" w:eastAsia="zh-CN"/>
              </w:rPr>
              <w:t>30</w:t>
            </w:r>
            <w:r>
              <w:rPr>
                <w:rFonts w:ascii="Times New Roman" w:hAnsi="Times New Roman" w:eastAsia="楷体_GB2312"/>
              </w:rPr>
              <w:t>分）</w:t>
            </w:r>
          </w:p>
        </w:tc>
      </w:tr>
      <w:tr w14:paraId="41A25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63D9D832">
            <w:pPr>
              <w:adjustRightInd w:val="0"/>
              <w:snapToGrid w:val="0"/>
              <w:spacing w:line="32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1558" w:type="dxa"/>
            <w:tcBorders>
              <w:top w:val="single" w:color="auto" w:sz="4" w:space="0"/>
              <w:left w:val="single" w:color="auto" w:sz="4" w:space="0"/>
              <w:bottom w:val="single" w:color="auto" w:sz="4" w:space="0"/>
              <w:right w:val="single" w:color="auto" w:sz="4" w:space="0"/>
            </w:tcBorders>
            <w:vAlign w:val="center"/>
          </w:tcPr>
          <w:p w14:paraId="7F415FB8">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服务方案</w:t>
            </w:r>
          </w:p>
          <w:p w14:paraId="515D8350">
            <w:pPr>
              <w:adjustRightInd w:val="0"/>
              <w:snapToGrid w:val="0"/>
              <w:spacing w:line="320" w:lineRule="exact"/>
              <w:ind w:left="210" w:hanging="210" w:hangingChars="100"/>
              <w:jc w:val="center"/>
              <w:rPr>
                <w:rFonts w:ascii="Times New Roman" w:hAnsi="Times New Roman"/>
                <w:szCs w:val="21"/>
              </w:rPr>
            </w:pP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0DB1F6DB">
            <w:pPr>
              <w:adjustRightInd w:val="0"/>
              <w:snapToGrid w:val="0"/>
              <w:spacing w:line="320" w:lineRule="exact"/>
              <w:ind w:firstLine="420" w:firstLineChars="200"/>
              <w:rPr>
                <w:rFonts w:ascii="Times New Roman" w:hAnsi="Times New Roman"/>
                <w:szCs w:val="21"/>
              </w:rPr>
            </w:pPr>
            <w:r>
              <w:rPr>
                <w:rFonts w:hint="eastAsia" w:ascii="Times New Roman" w:hAnsi="Times New Roman"/>
                <w:szCs w:val="21"/>
                <w:lang w:val="en-US" w:eastAsia="zh-CN"/>
              </w:rPr>
              <w:t>根据供应商针对本项目拟定的服务方案进行综合评审，方案内容包含但不限于：</w:t>
            </w:r>
            <w:r>
              <w:rPr>
                <w:rFonts w:hint="eastAsia" w:ascii="Times New Roman" w:hAnsi="Times New Roman"/>
                <w:szCs w:val="21"/>
                <w:lang w:eastAsia="zh-CN"/>
              </w:rPr>
              <w:t>合理作业流程、作业规范、检测流程、检测方法、校验内容、售后服务内容、本地化服务方案、后期支撑方案以及快速响应时间内赶到现场的应急处置措施等。</w:t>
            </w:r>
            <w:r>
              <w:rPr>
                <w:rFonts w:ascii="Times New Roman" w:hAnsi="Times New Roman"/>
                <w:szCs w:val="21"/>
              </w:rPr>
              <w:t>根据</w:t>
            </w:r>
            <w:r>
              <w:rPr>
                <w:rFonts w:hint="eastAsia" w:ascii="Times New Roman" w:hAnsi="Times New Roman"/>
                <w:szCs w:val="21"/>
                <w:lang w:eastAsia="zh-CN"/>
              </w:rPr>
              <w:t>技术服务机构</w:t>
            </w:r>
            <w:r>
              <w:rPr>
                <w:rFonts w:ascii="Times New Roman" w:hAnsi="Times New Roman"/>
                <w:szCs w:val="21"/>
              </w:rPr>
              <w:t>提供的本项目方案是否具有针对性、完整性、合理性、可行性进行综合评分。</w:t>
            </w:r>
          </w:p>
          <w:p w14:paraId="19C09278">
            <w:pPr>
              <w:adjustRightInd w:val="0"/>
              <w:snapToGrid w:val="0"/>
              <w:spacing w:line="320" w:lineRule="exact"/>
              <w:ind w:firstLine="420" w:firstLineChars="200"/>
              <w:rPr>
                <w:rFonts w:ascii="Times New Roman" w:hAnsi="Times New Roman"/>
                <w:szCs w:val="21"/>
              </w:rPr>
            </w:pPr>
            <w:r>
              <w:rPr>
                <w:rFonts w:ascii="Times New Roman" w:hAnsi="Times New Roman"/>
                <w:szCs w:val="21"/>
              </w:rPr>
              <w:t>1.一档</w:t>
            </w:r>
            <w:r>
              <w:rPr>
                <w:rFonts w:hint="eastAsia" w:ascii="Times New Roman" w:hAnsi="Times New Roman"/>
                <w:szCs w:val="21"/>
                <w:lang w:eastAsia="zh-CN"/>
              </w:rPr>
              <w:t>（</w:t>
            </w:r>
            <w:r>
              <w:rPr>
                <w:rFonts w:hint="eastAsia" w:ascii="Times New Roman" w:hAnsi="Times New Roman"/>
                <w:szCs w:val="21"/>
                <w:lang w:val="en-US" w:eastAsia="zh-CN"/>
              </w:rPr>
              <w:t>20</w:t>
            </w:r>
            <w:r>
              <w:rPr>
                <w:rFonts w:ascii="Times New Roman" w:hAnsi="Times New Roman"/>
                <w:szCs w:val="21"/>
              </w:rPr>
              <w:t>分）：方案符合本项目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内容规范明确且完整，可行性强</w:t>
            </w:r>
            <w:r>
              <w:rPr>
                <w:rFonts w:ascii="Times New Roman" w:hAnsi="Times New Roman"/>
                <w:szCs w:val="21"/>
              </w:rPr>
              <w:t>，得</w:t>
            </w:r>
            <w:r>
              <w:rPr>
                <w:rFonts w:hint="eastAsia" w:ascii="Times New Roman" w:hAnsi="Times New Roman"/>
                <w:szCs w:val="21"/>
                <w:lang w:val="en-US" w:eastAsia="zh-CN"/>
              </w:rPr>
              <w:t>20</w:t>
            </w:r>
            <w:r>
              <w:rPr>
                <w:rFonts w:ascii="Times New Roman" w:hAnsi="Times New Roman"/>
                <w:szCs w:val="21"/>
              </w:rPr>
              <w:t>分；</w:t>
            </w:r>
          </w:p>
          <w:p w14:paraId="17EB098C">
            <w:pPr>
              <w:adjustRightInd w:val="0"/>
              <w:snapToGrid w:val="0"/>
              <w:spacing w:line="320" w:lineRule="exact"/>
              <w:ind w:firstLine="420" w:firstLineChars="200"/>
              <w:rPr>
                <w:rFonts w:ascii="Times New Roman" w:hAnsi="Times New Roman"/>
                <w:szCs w:val="21"/>
              </w:rPr>
            </w:pPr>
            <w:r>
              <w:rPr>
                <w:rFonts w:ascii="Times New Roman" w:hAnsi="Times New Roman"/>
                <w:szCs w:val="21"/>
              </w:rPr>
              <w:t>2.二档（</w:t>
            </w:r>
            <w:r>
              <w:rPr>
                <w:rFonts w:hint="eastAsia" w:ascii="Times New Roman" w:hAnsi="Times New Roman"/>
                <w:szCs w:val="21"/>
                <w:lang w:val="en-US" w:eastAsia="zh-CN"/>
              </w:rPr>
              <w:t>15</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内容，方案基本完善，可行性较强，得</w:t>
            </w:r>
            <w:r>
              <w:rPr>
                <w:rFonts w:hint="eastAsia" w:ascii="Times New Roman" w:hAnsi="Times New Roman"/>
                <w:szCs w:val="21"/>
                <w:lang w:val="en-US" w:eastAsia="zh-CN"/>
              </w:rPr>
              <w:t>15</w:t>
            </w:r>
            <w:r>
              <w:rPr>
                <w:rFonts w:ascii="Times New Roman" w:hAnsi="Times New Roman"/>
                <w:szCs w:val="21"/>
              </w:rPr>
              <w:t>分；</w:t>
            </w:r>
          </w:p>
          <w:p w14:paraId="696A9341">
            <w:pPr>
              <w:adjustRightInd w:val="0"/>
              <w:snapToGrid w:val="0"/>
              <w:spacing w:line="320" w:lineRule="exact"/>
              <w:ind w:firstLine="420" w:firstLineChars="200"/>
              <w:rPr>
                <w:rFonts w:ascii="Times New Roman" w:hAnsi="Times New Roman"/>
                <w:szCs w:val="21"/>
              </w:rPr>
            </w:pPr>
            <w:r>
              <w:rPr>
                <w:rFonts w:ascii="Times New Roman" w:hAnsi="Times New Roman"/>
                <w:szCs w:val="21"/>
              </w:rPr>
              <w:t>3.三档（</w:t>
            </w:r>
            <w:r>
              <w:rPr>
                <w:rFonts w:hint="eastAsia" w:ascii="Times New Roman" w:hAnsi="Times New Roman"/>
                <w:szCs w:val="21"/>
                <w:lang w:val="en-US" w:eastAsia="zh-CN"/>
              </w:rPr>
              <w:t>10</w:t>
            </w:r>
            <w:r>
              <w:rPr>
                <w:rFonts w:ascii="Times New Roman" w:hAnsi="Times New Roman"/>
                <w:szCs w:val="21"/>
              </w:rPr>
              <w:t>分）：方案基本符合本项目</w:t>
            </w:r>
            <w:r>
              <w:rPr>
                <w:rFonts w:hint="eastAsia" w:ascii="Times New Roman" w:hAnsi="Times New Roman"/>
                <w:szCs w:val="21"/>
                <w:lang w:eastAsia="zh-CN"/>
              </w:rPr>
              <w:t>技术服务</w:t>
            </w:r>
            <w:r>
              <w:rPr>
                <w:rFonts w:ascii="Times New Roman" w:hAnsi="Times New Roman"/>
                <w:szCs w:val="21"/>
              </w:rPr>
              <w:t>内容，方案不够完善、可行性一般，得</w:t>
            </w:r>
            <w:r>
              <w:rPr>
                <w:rFonts w:hint="eastAsia" w:ascii="Times New Roman" w:hAnsi="Times New Roman"/>
                <w:szCs w:val="21"/>
                <w:lang w:val="en-US" w:eastAsia="zh-CN"/>
              </w:rPr>
              <w:t>10</w:t>
            </w:r>
            <w:r>
              <w:rPr>
                <w:rFonts w:ascii="Times New Roman" w:hAnsi="Times New Roman"/>
                <w:szCs w:val="21"/>
              </w:rPr>
              <w:t>分；</w:t>
            </w:r>
          </w:p>
          <w:p w14:paraId="3C52C30E">
            <w:pPr>
              <w:widowControl w:val="0"/>
              <w:adjustRightInd w:val="0"/>
              <w:snapToGrid w:val="0"/>
              <w:spacing w:line="320" w:lineRule="exact"/>
              <w:ind w:firstLine="420" w:firstLineChars="200"/>
              <w:jc w:val="left"/>
              <w:rPr>
                <w:rFonts w:ascii="Times New Roman" w:hAnsi="Times New Roman"/>
              </w:rPr>
            </w:pPr>
            <w:r>
              <w:rPr>
                <w:rFonts w:ascii="Times New Roman" w:hAnsi="Times New Roman"/>
                <w:szCs w:val="21"/>
              </w:rPr>
              <w:t>4.四档（</w:t>
            </w:r>
            <w:r>
              <w:rPr>
                <w:rFonts w:hint="eastAsia" w:ascii="Times New Roman" w:hAnsi="Times New Roman"/>
                <w:szCs w:val="21"/>
                <w:lang w:val="en-US" w:eastAsia="zh-CN"/>
              </w:rPr>
              <w:t>0</w:t>
            </w:r>
            <w:r>
              <w:rPr>
                <w:rFonts w:ascii="Times New Roman" w:hAnsi="Times New Roman"/>
                <w:szCs w:val="21"/>
              </w:rPr>
              <w:t>分）：方案不符合本项目</w:t>
            </w:r>
            <w:r>
              <w:rPr>
                <w:rFonts w:hint="eastAsia" w:ascii="Times New Roman" w:hAnsi="Times New Roman"/>
                <w:szCs w:val="21"/>
                <w:lang w:eastAsia="zh-CN"/>
              </w:rPr>
              <w:t>技术服务</w:t>
            </w:r>
            <w:r>
              <w:rPr>
                <w:rFonts w:ascii="Times New Roman" w:hAnsi="Times New Roman"/>
                <w:szCs w:val="21"/>
              </w:rPr>
              <w:t>内容，</w:t>
            </w:r>
            <w:r>
              <w:rPr>
                <w:rFonts w:hint="eastAsia" w:ascii="Times New Roman" w:hAnsi="Times New Roman"/>
                <w:szCs w:val="21"/>
                <w:lang w:val="en-US" w:eastAsia="zh-CN"/>
              </w:rPr>
              <w:t>无实质性内容，</w:t>
            </w:r>
            <w:r>
              <w:rPr>
                <w:rFonts w:ascii="Times New Roman" w:hAnsi="Times New Roman"/>
                <w:szCs w:val="21"/>
              </w:rPr>
              <w:t>得</w:t>
            </w:r>
            <w:r>
              <w:rPr>
                <w:rFonts w:hint="eastAsia" w:ascii="Times New Roman" w:hAnsi="Times New Roman"/>
                <w:szCs w:val="21"/>
                <w:lang w:val="en-US" w:eastAsia="zh-CN"/>
              </w:rPr>
              <w:t>0</w:t>
            </w:r>
            <w:r>
              <w:rPr>
                <w:rFonts w:ascii="Times New Roman" w:hAnsi="Times New Roman"/>
                <w:szCs w:val="21"/>
              </w:rPr>
              <w:t>分。</w:t>
            </w:r>
          </w:p>
        </w:tc>
      </w:tr>
      <w:tr w14:paraId="606C5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7D9A1C87">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rPr>
              <w:t>（三）技术支持部分（满分</w:t>
            </w:r>
            <w:r>
              <w:rPr>
                <w:rFonts w:hint="eastAsia" w:ascii="Times New Roman" w:hAnsi="Times New Roman" w:eastAsia="楷体_GB2312"/>
                <w:lang w:val="en-US" w:eastAsia="zh-CN"/>
              </w:rPr>
              <w:t>40</w:t>
            </w:r>
            <w:r>
              <w:rPr>
                <w:rFonts w:ascii="Times New Roman" w:hAnsi="Times New Roman" w:eastAsia="楷体_GB2312"/>
              </w:rPr>
              <w:t>分）</w:t>
            </w:r>
          </w:p>
        </w:tc>
      </w:tr>
      <w:tr w14:paraId="7DB8B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73EE61F8">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4</w:t>
            </w:r>
          </w:p>
        </w:tc>
        <w:tc>
          <w:tcPr>
            <w:tcW w:w="1558" w:type="dxa"/>
            <w:tcBorders>
              <w:top w:val="single" w:color="auto" w:sz="4" w:space="0"/>
              <w:left w:val="single" w:color="auto" w:sz="4" w:space="0"/>
              <w:bottom w:val="single" w:color="auto" w:sz="4" w:space="0"/>
              <w:right w:val="single" w:color="auto" w:sz="4" w:space="0"/>
            </w:tcBorders>
            <w:vAlign w:val="center"/>
          </w:tcPr>
          <w:p w14:paraId="2ECD6AB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宋体" w:cs="Times New Roman"/>
                <w:kern w:val="2"/>
                <w:sz w:val="21"/>
                <w:szCs w:val="21"/>
                <w:lang w:val="en-US" w:eastAsia="zh-CN" w:bidi="ar-SA"/>
              </w:rPr>
            </w:pPr>
            <w:r>
              <w:rPr>
                <w:rFonts w:hint="eastAsia" w:ascii="Times New Roman" w:hAnsi="Times New Roman"/>
                <w:szCs w:val="21"/>
              </w:rPr>
              <w:t>实验室能力</w:t>
            </w:r>
            <w:r>
              <w:rPr>
                <w:rFonts w:ascii="Times New Roman" w:hAnsi="Times New Roman"/>
                <w:szCs w:val="21"/>
              </w:rPr>
              <w:t>（满分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vAlign w:val="center"/>
          </w:tcPr>
          <w:p w14:paraId="2633C280">
            <w:pPr>
              <w:pStyle w:val="6"/>
              <w:adjustRightInd w:val="0"/>
              <w:snapToGrid w:val="0"/>
              <w:spacing w:line="32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w:t>
            </w:r>
            <w:r>
              <w:rPr>
                <w:rFonts w:hint="eastAsia" w:ascii="Times New Roman" w:hAnsi="Times New Roman"/>
                <w:szCs w:val="21"/>
              </w:rPr>
              <w:t>供应商</w:t>
            </w:r>
            <w:r>
              <w:rPr>
                <w:rFonts w:hint="eastAsia" w:ascii="Times New Roman" w:hAnsi="Times New Roman"/>
                <w:szCs w:val="21"/>
                <w:lang w:eastAsia="zh-CN"/>
              </w:rPr>
              <w:t>同时</w:t>
            </w:r>
            <w:r>
              <w:rPr>
                <w:rFonts w:hint="eastAsia" w:ascii="Times New Roman" w:hAnsi="Times New Roman"/>
                <w:szCs w:val="21"/>
              </w:rPr>
              <w:t>具备省（市）级市场监督管理局的颁发计量授权证书或中国合格评定国家认可委员会实验室（CNAS）认可证书和省级实验室资质认定（CMA）证书</w:t>
            </w:r>
            <w:r>
              <w:rPr>
                <w:rFonts w:hint="eastAsia" w:ascii="Times New Roman" w:hAnsi="Times New Roman"/>
                <w:szCs w:val="21"/>
                <w:lang w:eastAsia="zh-CN"/>
              </w:rPr>
              <w:t>的得</w:t>
            </w:r>
            <w:r>
              <w:rPr>
                <w:rFonts w:hint="eastAsia" w:ascii="Times New Roman" w:hAnsi="Times New Roman"/>
                <w:szCs w:val="21"/>
                <w:lang w:val="en-US" w:eastAsia="zh-CN"/>
              </w:rPr>
              <w:t>5分</w:t>
            </w:r>
            <w:r>
              <w:rPr>
                <w:rFonts w:hint="eastAsia" w:ascii="Times New Roman" w:hAnsi="Times New Roman"/>
                <w:szCs w:val="21"/>
              </w:rPr>
              <w:t>。</w:t>
            </w:r>
            <w:r>
              <w:rPr>
                <w:rFonts w:hint="eastAsia" w:ascii="Times New Roman" w:hAnsi="Times New Roman"/>
                <w:szCs w:val="21"/>
                <w:lang w:eastAsia="zh-CN"/>
              </w:rPr>
              <w:t>仅</w:t>
            </w:r>
            <w:r>
              <w:rPr>
                <w:rFonts w:hint="eastAsia" w:ascii="Times New Roman" w:hAnsi="Times New Roman"/>
                <w:szCs w:val="21"/>
              </w:rPr>
              <w:t>具有市级以上市场监督管理局颁发计量授权证书的得</w:t>
            </w:r>
            <w:r>
              <w:rPr>
                <w:rFonts w:hint="eastAsia" w:ascii="Times New Roman" w:hAnsi="Times New Roman"/>
                <w:szCs w:val="21"/>
                <w:lang w:val="en-US" w:eastAsia="zh-CN"/>
              </w:rPr>
              <w:t>4</w:t>
            </w:r>
            <w:r>
              <w:rPr>
                <w:rFonts w:hint="eastAsia" w:ascii="Times New Roman" w:hAnsi="Times New Roman"/>
                <w:szCs w:val="21"/>
              </w:rPr>
              <w:t>分；</w:t>
            </w:r>
          </w:p>
          <w:p w14:paraId="7DF7F673">
            <w:pPr>
              <w:pStyle w:val="6"/>
              <w:adjustRightInd w:val="0"/>
              <w:snapToGrid w:val="0"/>
              <w:spacing w:line="320" w:lineRule="exact"/>
              <w:ind w:firstLine="420" w:firstLineChars="200"/>
              <w:rPr>
                <w:rFonts w:hint="eastAsia" w:ascii="Times New Roman" w:hAnsi="Times New Roman"/>
                <w:szCs w:val="21"/>
                <w:lang w:eastAsia="zh-CN"/>
              </w:rPr>
            </w:pPr>
            <w:r>
              <w:rPr>
                <w:rFonts w:hint="eastAsia" w:ascii="Times New Roman" w:hAnsi="Times New Roman"/>
                <w:szCs w:val="21"/>
                <w:lang w:val="en-US" w:eastAsia="zh-CN"/>
              </w:rPr>
              <w:t>2.</w:t>
            </w:r>
            <w:r>
              <w:rPr>
                <w:rFonts w:hint="eastAsia" w:ascii="Times New Roman" w:hAnsi="Times New Roman"/>
                <w:szCs w:val="21"/>
              </w:rPr>
              <w:t>供应商具备检定校准能力覆盖本项目超过90%的，得</w:t>
            </w:r>
            <w:r>
              <w:rPr>
                <w:rFonts w:hint="eastAsia" w:ascii="Times New Roman" w:hAnsi="Times New Roman"/>
                <w:szCs w:val="21"/>
                <w:lang w:val="en-US" w:eastAsia="zh-CN"/>
              </w:rPr>
              <w:t>5</w:t>
            </w:r>
            <w:r>
              <w:rPr>
                <w:rFonts w:hint="eastAsia" w:ascii="Times New Roman" w:hAnsi="Times New Roman"/>
                <w:szCs w:val="21"/>
              </w:rPr>
              <w:t>分。检定校准能力覆盖本项目</w:t>
            </w:r>
            <w:r>
              <w:rPr>
                <w:rFonts w:hint="eastAsia" w:ascii="Times New Roman" w:hAnsi="Times New Roman"/>
                <w:szCs w:val="21"/>
                <w:lang w:val="en-US" w:eastAsia="zh-CN"/>
              </w:rPr>
              <w:t>8</w:t>
            </w:r>
            <w:r>
              <w:rPr>
                <w:rFonts w:hint="eastAsia" w:ascii="Times New Roman" w:hAnsi="Times New Roman"/>
                <w:szCs w:val="21"/>
              </w:rPr>
              <w:t>0%-90%（不含90%）之间的，得</w:t>
            </w:r>
            <w:r>
              <w:rPr>
                <w:rFonts w:hint="eastAsia" w:ascii="Times New Roman" w:hAnsi="Times New Roman"/>
                <w:szCs w:val="21"/>
                <w:lang w:val="en-US" w:eastAsia="zh-CN"/>
              </w:rPr>
              <w:t>3</w:t>
            </w:r>
            <w:r>
              <w:rPr>
                <w:rFonts w:hint="eastAsia" w:ascii="Times New Roman" w:hAnsi="Times New Roman"/>
                <w:szCs w:val="21"/>
              </w:rPr>
              <w:t>分。检定校准能力覆盖本项目低于</w:t>
            </w:r>
            <w:r>
              <w:rPr>
                <w:rFonts w:hint="eastAsia" w:ascii="Times New Roman" w:hAnsi="Times New Roman"/>
                <w:szCs w:val="21"/>
                <w:lang w:val="en-US" w:eastAsia="zh-CN"/>
              </w:rPr>
              <w:t>8</w:t>
            </w:r>
            <w:r>
              <w:rPr>
                <w:rFonts w:hint="eastAsia" w:ascii="Times New Roman" w:hAnsi="Times New Roman"/>
                <w:szCs w:val="21"/>
              </w:rPr>
              <w:t>0%（不含</w:t>
            </w:r>
            <w:r>
              <w:rPr>
                <w:rFonts w:hint="eastAsia" w:ascii="Times New Roman" w:hAnsi="Times New Roman"/>
                <w:szCs w:val="21"/>
                <w:lang w:val="en-US" w:eastAsia="zh-CN"/>
              </w:rPr>
              <w:t>8</w:t>
            </w:r>
            <w:r>
              <w:rPr>
                <w:rFonts w:hint="eastAsia" w:ascii="Times New Roman" w:hAnsi="Times New Roman"/>
                <w:szCs w:val="21"/>
              </w:rPr>
              <w:t>0%）的，得</w:t>
            </w:r>
            <w:r>
              <w:rPr>
                <w:rFonts w:hint="eastAsia" w:ascii="Times New Roman" w:hAnsi="Times New Roman"/>
                <w:szCs w:val="21"/>
                <w:lang w:val="en-US" w:eastAsia="zh-CN"/>
              </w:rPr>
              <w:t>1</w:t>
            </w:r>
            <w:r>
              <w:rPr>
                <w:rFonts w:hint="eastAsia" w:ascii="Times New Roman" w:hAnsi="Times New Roman"/>
                <w:szCs w:val="21"/>
              </w:rPr>
              <w:t>分；</w:t>
            </w:r>
            <w:r>
              <w:rPr>
                <w:rFonts w:hint="eastAsia" w:ascii="Times New Roman" w:hAnsi="Times New Roman"/>
                <w:szCs w:val="21"/>
                <w:lang w:eastAsia="zh-CN"/>
              </w:rPr>
              <w:t>（同种设备不重复统计）</w:t>
            </w:r>
          </w:p>
          <w:p w14:paraId="532D7B7A">
            <w:pPr>
              <w:pStyle w:val="6"/>
              <w:adjustRightInd w:val="0"/>
              <w:snapToGrid w:val="0"/>
              <w:spacing w:line="320" w:lineRule="exact"/>
              <w:ind w:firstLine="420" w:firstLineChars="200"/>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供应商具备提供检定校准服务技术能力400项至500项(含</w:t>
            </w:r>
            <w:r>
              <w:rPr>
                <w:rFonts w:hint="eastAsia" w:ascii="Times New Roman" w:hAnsi="Times New Roman"/>
                <w:szCs w:val="21"/>
                <w:lang w:val="en-US" w:eastAsia="zh-CN"/>
              </w:rPr>
              <w:t>500项</w:t>
            </w:r>
            <w:r>
              <w:rPr>
                <w:rFonts w:hint="eastAsia" w:ascii="Times New Roman" w:hAnsi="Times New Roman"/>
                <w:szCs w:val="21"/>
              </w:rPr>
              <w:t>）得</w:t>
            </w:r>
            <w:r>
              <w:rPr>
                <w:rFonts w:hint="eastAsia" w:ascii="Times New Roman" w:hAnsi="Times New Roman"/>
                <w:szCs w:val="21"/>
                <w:lang w:val="en-US" w:eastAsia="zh-CN"/>
              </w:rPr>
              <w:t>5</w:t>
            </w:r>
            <w:r>
              <w:rPr>
                <w:rFonts w:hint="eastAsia" w:ascii="Times New Roman" w:hAnsi="Times New Roman"/>
                <w:szCs w:val="21"/>
              </w:rPr>
              <w:t>分，具备提供检定校准服务技术能力300项至400项(含</w:t>
            </w:r>
            <w:r>
              <w:rPr>
                <w:rFonts w:hint="eastAsia" w:ascii="Times New Roman" w:hAnsi="Times New Roman"/>
                <w:szCs w:val="21"/>
                <w:lang w:val="en-US" w:eastAsia="zh-CN"/>
              </w:rPr>
              <w:t>400项</w:t>
            </w:r>
            <w:r>
              <w:rPr>
                <w:rFonts w:hint="eastAsia" w:ascii="Times New Roman" w:hAnsi="Times New Roman"/>
                <w:szCs w:val="21"/>
              </w:rPr>
              <w:t>）得</w:t>
            </w:r>
            <w:r>
              <w:rPr>
                <w:rFonts w:hint="eastAsia" w:ascii="Times New Roman" w:hAnsi="Times New Roman"/>
                <w:szCs w:val="21"/>
                <w:lang w:val="en-US" w:eastAsia="zh-CN"/>
              </w:rPr>
              <w:t>3</w:t>
            </w:r>
            <w:r>
              <w:rPr>
                <w:rFonts w:hint="eastAsia" w:ascii="Times New Roman" w:hAnsi="Times New Roman"/>
                <w:szCs w:val="21"/>
              </w:rPr>
              <w:t>分，具备提供检定校准服务技术能力</w:t>
            </w:r>
            <w:r>
              <w:rPr>
                <w:rFonts w:hint="eastAsia" w:ascii="Times New Roman" w:hAnsi="Times New Roman"/>
                <w:szCs w:val="21"/>
                <w:lang w:val="en-US" w:eastAsia="zh-CN"/>
              </w:rPr>
              <w:t>2</w:t>
            </w:r>
            <w:r>
              <w:rPr>
                <w:rFonts w:hint="eastAsia" w:ascii="Times New Roman" w:hAnsi="Times New Roman"/>
                <w:szCs w:val="21"/>
              </w:rPr>
              <w:t>00项至300项(含</w:t>
            </w:r>
            <w:r>
              <w:rPr>
                <w:rFonts w:hint="eastAsia" w:ascii="Times New Roman" w:hAnsi="Times New Roman"/>
                <w:szCs w:val="21"/>
                <w:lang w:val="en-US" w:eastAsia="zh-CN"/>
              </w:rPr>
              <w:t>300项</w:t>
            </w:r>
            <w:r>
              <w:rPr>
                <w:rFonts w:hint="eastAsia" w:ascii="Times New Roman" w:hAnsi="Times New Roman"/>
                <w:szCs w:val="21"/>
              </w:rPr>
              <w:t>）得</w:t>
            </w:r>
            <w:r>
              <w:rPr>
                <w:rFonts w:hint="eastAsia" w:ascii="Times New Roman" w:hAnsi="Times New Roman"/>
                <w:szCs w:val="21"/>
                <w:lang w:val="en-US" w:eastAsia="zh-CN"/>
              </w:rPr>
              <w:t>1</w:t>
            </w:r>
            <w:r>
              <w:rPr>
                <w:rFonts w:hint="eastAsia" w:ascii="Times New Roman" w:hAnsi="Times New Roman"/>
                <w:szCs w:val="21"/>
              </w:rPr>
              <w:t>分。</w:t>
            </w:r>
          </w:p>
          <w:p w14:paraId="139BA637">
            <w:pPr>
              <w:pStyle w:val="6"/>
              <w:adjustRightInd w:val="0"/>
              <w:snapToGrid w:val="0"/>
              <w:spacing w:line="32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4.供应商具有独立实验室，且获得计量行政主管部门组织的</w:t>
            </w:r>
            <w:r>
              <w:rPr>
                <w:rFonts w:hint="eastAsia" w:ascii="Times New Roman" w:hAnsi="Times New Roman" w:eastAsia="宋体" w:cs="Times New Roman"/>
                <w:kern w:val="2"/>
                <w:sz w:val="21"/>
                <w:lang w:val="en-US" w:eastAsia="zh-CN" w:bidi="ar-SA"/>
              </w:rPr>
              <w:t>各类技术比对或比武等活动中</w:t>
            </w:r>
            <w:r>
              <w:rPr>
                <w:rFonts w:hint="eastAsia" w:ascii="Times New Roman" w:hAnsi="Times New Roman"/>
                <w:szCs w:val="21"/>
                <w:lang w:val="en-US" w:eastAsia="zh-CN"/>
              </w:rPr>
              <w:t>获得过奖项（三等奖及以上）的得5分。</w:t>
            </w:r>
          </w:p>
          <w:p w14:paraId="16924369">
            <w:pPr>
              <w:pStyle w:val="6"/>
              <w:adjustRightInd w:val="0"/>
              <w:snapToGrid w:val="0"/>
              <w:spacing w:line="320" w:lineRule="exact"/>
              <w:ind w:firstLine="420" w:firstLineChars="200"/>
              <w:rPr>
                <w:rFonts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注：提供相关证明材料。</w:t>
            </w:r>
          </w:p>
        </w:tc>
      </w:tr>
      <w:tr w14:paraId="4A93C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7592798C">
            <w:pPr>
              <w:adjustRightInd w:val="0"/>
              <w:snapToGrid w:val="0"/>
              <w:spacing w:line="32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5</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2801060">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r>
              <w:rPr>
                <w:rFonts w:ascii="Times New Roman" w:hAnsi="Times New Roman"/>
                <w:szCs w:val="21"/>
              </w:rPr>
              <w:t>人员设置   （满分</w:t>
            </w:r>
            <w:r>
              <w:rPr>
                <w:rFonts w:hint="eastAsia" w:ascii="Times New Roman" w:hAnsi="Times New Roman"/>
                <w:szCs w:val="21"/>
                <w:lang w:val="en-US" w:eastAsia="zh-CN"/>
              </w:rPr>
              <w:t>20</w:t>
            </w:r>
            <w:r>
              <w:rPr>
                <w:rFonts w:ascii="Times New Roman" w:hAnsi="Times New Roman"/>
                <w:szCs w:val="21"/>
              </w:rPr>
              <w:t>分）</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center"/>
          </w:tcPr>
          <w:p w14:paraId="07BFE580">
            <w:pPr>
              <w:widowControl w:val="0"/>
              <w:numPr>
                <w:ilvl w:val="0"/>
                <w:numId w:val="4"/>
              </w:numPr>
              <w:adjustRightInd w:val="0"/>
              <w:snapToGrid w:val="0"/>
              <w:spacing w:line="320" w:lineRule="exact"/>
              <w:ind w:firstLine="420" w:firstLineChars="200"/>
              <w:jc w:val="left"/>
              <w:rPr>
                <w:rFonts w:hint="eastAsia" w:ascii="Times New Roman" w:hAnsi="Times New Roman"/>
                <w:bCs/>
                <w:szCs w:val="21"/>
                <w:lang w:eastAsia="zh-CN"/>
              </w:rPr>
            </w:pPr>
            <w:r>
              <w:rPr>
                <w:rFonts w:hint="eastAsia" w:ascii="Times New Roman" w:hAnsi="Times New Roman"/>
                <w:bCs/>
                <w:szCs w:val="21"/>
                <w:lang w:val="en-US" w:eastAsia="zh-CN"/>
              </w:rPr>
              <w:t>供应商本</w:t>
            </w:r>
            <w:r>
              <w:rPr>
                <w:rFonts w:hint="eastAsia" w:ascii="Times New Roman" w:hAnsi="Times New Roman"/>
                <w:bCs/>
                <w:szCs w:val="21"/>
              </w:rPr>
              <w:t>项目负责人具有</w:t>
            </w:r>
            <w:r>
              <w:rPr>
                <w:rFonts w:hint="eastAsia" w:ascii="Times New Roman" w:hAnsi="Times New Roman"/>
                <w:szCs w:val="21"/>
                <w:highlight w:val="none"/>
                <w:lang w:val="en-US" w:eastAsia="zh-CN"/>
              </w:rPr>
              <w:t>计量</w:t>
            </w:r>
            <w:r>
              <w:rPr>
                <w:rFonts w:hint="eastAsia" w:ascii="Times New Roman" w:hAnsi="Times New Roman"/>
                <w:szCs w:val="21"/>
                <w:lang w:val="en-US" w:eastAsia="zh-CN"/>
              </w:rPr>
              <w:t>类高级及以上职称得6分，中级职称的得5分，同时具有一级注册计量师证书的加4分。此项最高得10分</w:t>
            </w:r>
            <w:r>
              <w:rPr>
                <w:rFonts w:hint="eastAsia" w:ascii="Times New Roman" w:hAnsi="Times New Roman"/>
                <w:bCs/>
                <w:szCs w:val="21"/>
                <w:lang w:eastAsia="zh-CN"/>
              </w:rPr>
              <w:t>。</w:t>
            </w:r>
          </w:p>
          <w:p w14:paraId="78CA9330">
            <w:pPr>
              <w:widowControl w:val="0"/>
              <w:numPr>
                <w:ilvl w:val="0"/>
                <w:numId w:val="0"/>
              </w:numPr>
              <w:adjustRightInd w:val="0"/>
              <w:snapToGrid w:val="0"/>
              <w:spacing w:line="320" w:lineRule="exact"/>
              <w:ind w:firstLine="420" w:firstLineChars="200"/>
              <w:jc w:val="left"/>
              <w:rPr>
                <w:rFonts w:hint="eastAsia" w:ascii="Times New Roman" w:hAnsi="Times New Roman" w:eastAsia="宋体"/>
                <w:bCs/>
                <w:szCs w:val="21"/>
                <w:lang w:eastAsia="zh-CN"/>
              </w:rPr>
            </w:pPr>
            <w:r>
              <w:rPr>
                <w:rFonts w:hint="eastAsia" w:ascii="Times New Roman" w:hAnsi="Times New Roman"/>
                <w:bCs/>
                <w:szCs w:val="21"/>
                <w:lang w:val="en-US" w:eastAsia="zh-CN"/>
              </w:rPr>
              <w:t>2、供应商本</w:t>
            </w:r>
            <w:r>
              <w:rPr>
                <w:rFonts w:hint="eastAsia" w:ascii="Times New Roman" w:hAnsi="Times New Roman"/>
                <w:bCs/>
                <w:szCs w:val="21"/>
              </w:rPr>
              <w:t>项目主要实施人员</w:t>
            </w:r>
            <w:r>
              <w:rPr>
                <w:rFonts w:hint="eastAsia" w:ascii="Times New Roman" w:hAnsi="Times New Roman"/>
                <w:szCs w:val="21"/>
                <w:lang w:val="en-US" w:eastAsia="zh-CN"/>
              </w:rPr>
              <w:t>（不含项目负责人）</w:t>
            </w:r>
            <w:r>
              <w:rPr>
                <w:rFonts w:hint="eastAsia" w:ascii="Times New Roman" w:hAnsi="Times New Roman"/>
                <w:bCs/>
                <w:szCs w:val="21"/>
              </w:rPr>
              <w:t>配备稳定合理，职责分工明确，满足项目实际需要，具有一级计量师资格证的人数</w:t>
            </w:r>
            <w:r>
              <w:rPr>
                <w:rFonts w:hint="eastAsia" w:ascii="Times New Roman" w:hAnsi="Times New Roman"/>
                <w:bCs/>
                <w:szCs w:val="21"/>
                <w:lang w:val="en-US" w:eastAsia="zh-CN"/>
              </w:rPr>
              <w:t>10</w:t>
            </w:r>
            <w:r>
              <w:rPr>
                <w:rFonts w:hint="eastAsia" w:ascii="Times New Roman" w:hAnsi="Times New Roman"/>
                <w:bCs/>
                <w:szCs w:val="21"/>
              </w:rPr>
              <w:t>人及以上，得</w:t>
            </w:r>
            <w:r>
              <w:rPr>
                <w:rFonts w:hint="eastAsia" w:ascii="Times New Roman" w:hAnsi="Times New Roman"/>
                <w:bCs/>
                <w:szCs w:val="21"/>
                <w:lang w:val="en-US" w:eastAsia="zh-CN"/>
              </w:rPr>
              <w:t>10</w:t>
            </w:r>
            <w:r>
              <w:rPr>
                <w:rFonts w:hint="eastAsia" w:ascii="Times New Roman" w:hAnsi="Times New Roman"/>
                <w:bCs/>
                <w:szCs w:val="21"/>
              </w:rPr>
              <w:t>分；</w:t>
            </w:r>
            <w:r>
              <w:rPr>
                <w:rFonts w:hint="eastAsia" w:ascii="Times New Roman" w:hAnsi="Times New Roman"/>
                <w:bCs/>
                <w:szCs w:val="21"/>
                <w:lang w:val="en-US" w:eastAsia="zh-CN"/>
              </w:rPr>
              <w:t>7-9</w:t>
            </w:r>
            <w:r>
              <w:rPr>
                <w:rFonts w:hint="eastAsia" w:ascii="Times New Roman" w:hAnsi="Times New Roman"/>
                <w:bCs/>
                <w:szCs w:val="21"/>
              </w:rPr>
              <w:t>人，得</w:t>
            </w:r>
            <w:r>
              <w:rPr>
                <w:rFonts w:hint="eastAsia" w:ascii="Times New Roman" w:hAnsi="Times New Roman"/>
                <w:bCs/>
                <w:szCs w:val="21"/>
                <w:lang w:val="en-US" w:eastAsia="zh-CN"/>
              </w:rPr>
              <w:t>7</w:t>
            </w:r>
            <w:r>
              <w:rPr>
                <w:rFonts w:hint="eastAsia" w:ascii="Times New Roman" w:hAnsi="Times New Roman"/>
                <w:bCs/>
                <w:szCs w:val="21"/>
              </w:rPr>
              <w:t>分；</w:t>
            </w:r>
            <w:r>
              <w:rPr>
                <w:rFonts w:hint="eastAsia" w:ascii="Times New Roman" w:hAnsi="Times New Roman"/>
                <w:bCs/>
                <w:szCs w:val="21"/>
                <w:lang w:val="en-US" w:eastAsia="zh-CN"/>
              </w:rPr>
              <w:t>7</w:t>
            </w:r>
            <w:r>
              <w:rPr>
                <w:rFonts w:hint="eastAsia" w:ascii="Times New Roman" w:hAnsi="Times New Roman"/>
                <w:bCs/>
                <w:szCs w:val="21"/>
              </w:rPr>
              <w:t>人及以下得</w:t>
            </w:r>
            <w:r>
              <w:rPr>
                <w:rFonts w:hint="eastAsia" w:ascii="Times New Roman" w:hAnsi="Times New Roman"/>
                <w:bCs/>
                <w:szCs w:val="21"/>
                <w:lang w:val="en-US" w:eastAsia="zh-CN"/>
              </w:rPr>
              <w:t>4</w:t>
            </w:r>
            <w:r>
              <w:rPr>
                <w:rFonts w:hint="eastAsia" w:ascii="Times New Roman" w:hAnsi="Times New Roman"/>
                <w:bCs/>
                <w:szCs w:val="21"/>
              </w:rPr>
              <w:t>分；未提供不得分</w:t>
            </w:r>
            <w:r>
              <w:rPr>
                <w:rFonts w:hint="eastAsia" w:ascii="Times New Roman" w:hAnsi="Times New Roman"/>
                <w:bCs/>
                <w:szCs w:val="21"/>
                <w:lang w:eastAsia="zh-CN"/>
              </w:rPr>
              <w:t>。</w:t>
            </w:r>
          </w:p>
          <w:p w14:paraId="7B7BDC97">
            <w:pPr>
              <w:widowControl w:val="0"/>
              <w:adjustRightInd w:val="0"/>
              <w:snapToGrid w:val="0"/>
              <w:spacing w:line="320" w:lineRule="exact"/>
              <w:ind w:firstLine="420" w:firstLineChars="200"/>
              <w:jc w:val="left"/>
              <w:rPr>
                <w:rFonts w:hint="eastAsia" w:ascii="宋体" w:hAnsi="宋体" w:eastAsia="宋体" w:cs="Times New Roman"/>
                <w:kern w:val="2"/>
                <w:sz w:val="24"/>
                <w:lang w:val="en-US" w:eastAsia="zh-CN" w:bidi="ar-SA"/>
              </w:rPr>
            </w:pPr>
            <w:r>
              <w:rPr>
                <w:rFonts w:hint="eastAsia" w:ascii="Times New Roman" w:hAnsi="Times New Roman"/>
                <w:bCs/>
                <w:szCs w:val="21"/>
              </w:rPr>
              <w:t>注：需提供以上人员连续</w:t>
            </w:r>
            <w:r>
              <w:rPr>
                <w:rFonts w:hint="eastAsia" w:ascii="Times New Roman" w:hAnsi="Times New Roman"/>
                <w:bCs/>
                <w:szCs w:val="21"/>
                <w:lang w:val="en-US" w:eastAsia="zh-CN"/>
              </w:rPr>
              <w:t>6</w:t>
            </w:r>
            <w:r>
              <w:rPr>
                <w:rFonts w:hint="eastAsia" w:ascii="Times New Roman" w:hAnsi="Times New Roman"/>
                <w:bCs/>
                <w:szCs w:val="21"/>
              </w:rPr>
              <w:t>个月的缴纳社保证明材料</w:t>
            </w:r>
            <w:r>
              <w:rPr>
                <w:rFonts w:hint="eastAsia" w:ascii="Times New Roman" w:hAnsi="Times New Roman"/>
                <w:bCs/>
                <w:szCs w:val="21"/>
                <w:lang w:eastAsia="zh-CN"/>
              </w:rPr>
              <w:t>或劳务合同</w:t>
            </w:r>
            <w:r>
              <w:rPr>
                <w:rFonts w:hint="eastAsia" w:ascii="Times New Roman" w:hAnsi="Times New Roman"/>
                <w:bCs/>
                <w:szCs w:val="21"/>
              </w:rPr>
              <w:t>及相关证书，否则不得分。</w:t>
            </w:r>
          </w:p>
        </w:tc>
      </w:tr>
      <w:tr w14:paraId="7D955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12" w:type="dxa"/>
            <w:gridSpan w:val="3"/>
            <w:tcBorders>
              <w:top w:val="single" w:color="auto" w:sz="4" w:space="0"/>
              <w:left w:val="single" w:color="auto" w:sz="4" w:space="0"/>
              <w:bottom w:val="single" w:color="auto" w:sz="4" w:space="0"/>
              <w:right w:val="single" w:color="auto" w:sz="4" w:space="0"/>
            </w:tcBorders>
            <w:vAlign w:val="center"/>
          </w:tcPr>
          <w:p w14:paraId="2CAF435C">
            <w:pPr>
              <w:adjustRightInd w:val="0"/>
              <w:snapToGrid w:val="0"/>
              <w:spacing w:line="320" w:lineRule="exact"/>
              <w:ind w:firstLine="420" w:firstLineChars="200"/>
              <w:jc w:val="center"/>
              <w:rPr>
                <w:rFonts w:ascii="Times New Roman" w:hAnsi="Times New Roman"/>
                <w:szCs w:val="21"/>
              </w:rPr>
            </w:pPr>
            <w:r>
              <w:rPr>
                <w:rFonts w:ascii="Times New Roman" w:hAnsi="Times New Roman" w:eastAsia="楷体_GB2312"/>
                <w:szCs w:val="21"/>
              </w:rPr>
              <w:t>（四）商务部分</w:t>
            </w:r>
            <w:r>
              <w:rPr>
                <w:rFonts w:ascii="Times New Roman" w:hAnsi="Times New Roman" w:eastAsia="楷体_GB2312"/>
              </w:rPr>
              <w:t>（满分</w:t>
            </w:r>
            <w:r>
              <w:rPr>
                <w:rFonts w:hint="eastAsia" w:ascii="Times New Roman" w:hAnsi="Times New Roman" w:eastAsia="楷体_GB2312"/>
                <w:lang w:val="en-US" w:eastAsia="zh-CN"/>
              </w:rPr>
              <w:t>20</w:t>
            </w:r>
            <w:r>
              <w:rPr>
                <w:rFonts w:ascii="Times New Roman" w:hAnsi="Times New Roman" w:eastAsia="楷体_GB2312"/>
              </w:rPr>
              <w:t>分）</w:t>
            </w:r>
          </w:p>
        </w:tc>
      </w:tr>
      <w:tr w14:paraId="031AC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119C15F0">
            <w:pPr>
              <w:adjustRightInd w:val="0"/>
              <w:snapToGrid w:val="0"/>
              <w:spacing w:line="32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6</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AC9625F">
            <w:pPr>
              <w:adjustRightInd w:val="0"/>
              <w:snapToGrid w:val="0"/>
              <w:spacing w:line="320" w:lineRule="exact"/>
              <w:jc w:val="center"/>
              <w:rPr>
                <w:rFonts w:ascii="Times New Roman" w:hAnsi="Times New Roman"/>
              </w:rPr>
            </w:pPr>
            <w:r>
              <w:rPr>
                <w:rFonts w:ascii="Times New Roman" w:hAnsi="Times New Roman"/>
              </w:rPr>
              <w:t>项目业绩</w:t>
            </w:r>
          </w:p>
          <w:p w14:paraId="2622C109">
            <w:pPr>
              <w:adjustRightInd w:val="0"/>
              <w:snapToGrid w:val="0"/>
              <w:spacing w:line="320" w:lineRule="exact"/>
              <w:jc w:val="center"/>
              <w:rPr>
                <w:rFonts w:ascii="Times New Roman" w:hAnsi="Times New Roman" w:eastAsia="宋体" w:cs="Times New Roman"/>
                <w:kern w:val="2"/>
                <w:sz w:val="21"/>
                <w:lang w:val="en-US" w:eastAsia="zh-CN" w:bidi="ar-SA"/>
              </w:rPr>
            </w:pPr>
            <w:r>
              <w:rPr>
                <w:rFonts w:ascii="Times New Roman" w:hAnsi="Times New Roman"/>
              </w:rPr>
              <w:t>（满分</w:t>
            </w:r>
            <w:r>
              <w:rPr>
                <w:rFonts w:hint="eastAsia" w:ascii="Times New Roman" w:hAnsi="Times New Roman"/>
                <w:lang w:val="en-US" w:eastAsia="zh-CN"/>
              </w:rPr>
              <w:t>20</w:t>
            </w:r>
            <w:r>
              <w:rPr>
                <w:rFonts w:ascii="Times New Roman" w:hAnsi="Times New Roman"/>
              </w:rPr>
              <w:t>分）</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top"/>
          </w:tcPr>
          <w:p w14:paraId="60222035">
            <w:pPr>
              <w:adjustRightInd w:val="0"/>
              <w:snapToGrid w:val="0"/>
              <w:spacing w:line="320" w:lineRule="exact"/>
              <w:ind w:firstLine="420" w:firstLineChars="200"/>
              <w:rPr>
                <w:rFonts w:hint="eastAsia" w:ascii="Times New Roman" w:hAnsi="Times New Roman"/>
                <w:lang w:val="en-US" w:eastAsia="zh-CN"/>
              </w:rPr>
            </w:pPr>
            <w:r>
              <w:rPr>
                <w:rFonts w:hint="eastAsia" w:ascii="Times New Roman" w:hAnsi="Times New Roman" w:eastAsia="宋体"/>
                <w:lang w:val="en-US" w:eastAsia="zh-CN"/>
              </w:rPr>
              <w:t>供应商</w:t>
            </w:r>
            <w:r>
              <w:rPr>
                <w:rFonts w:hint="eastAsia" w:ascii="Times New Roman" w:hAnsi="Times New Roman"/>
                <w:lang w:val="en-US" w:eastAsia="zh-CN"/>
              </w:rPr>
              <w:t>近三年</w:t>
            </w:r>
            <w:r>
              <w:rPr>
                <w:rFonts w:hint="eastAsia" w:ascii="Times New Roman" w:hAnsi="Times New Roman" w:eastAsia="宋体"/>
                <w:lang w:val="en-US" w:eastAsia="zh-CN"/>
              </w:rPr>
              <w:t>以来具有类似项目业绩的</w:t>
            </w:r>
            <w:r>
              <w:rPr>
                <w:rFonts w:hint="eastAsia" w:ascii="Times New Roman" w:hAnsi="Times New Roman"/>
              </w:rPr>
              <w:t>，每提供一项得</w:t>
            </w:r>
            <w:r>
              <w:rPr>
                <w:rFonts w:hint="eastAsia" w:ascii="Times New Roman" w:hAnsi="Times New Roman"/>
                <w:lang w:val="en-US" w:eastAsia="zh-CN"/>
              </w:rPr>
              <w:t>2</w:t>
            </w:r>
            <w:r>
              <w:rPr>
                <w:rFonts w:hint="eastAsia" w:ascii="Times New Roman" w:hAnsi="Times New Roman"/>
              </w:rPr>
              <w:t>分，</w:t>
            </w:r>
            <w:r>
              <w:rPr>
                <w:rFonts w:hint="eastAsia" w:ascii="Times New Roman" w:hAnsi="Times New Roman"/>
                <w:lang w:eastAsia="zh-CN"/>
              </w:rPr>
              <w:t>满分</w:t>
            </w:r>
            <w:r>
              <w:rPr>
                <w:rFonts w:hint="eastAsia" w:ascii="Times New Roman" w:hAnsi="Times New Roman"/>
                <w:lang w:val="en-US" w:eastAsia="zh-CN"/>
              </w:rPr>
              <w:t>20</w:t>
            </w:r>
            <w:r>
              <w:rPr>
                <w:rFonts w:hint="eastAsia" w:ascii="Times New Roman" w:hAnsi="Times New Roman"/>
              </w:rPr>
              <w:t>分；</w:t>
            </w:r>
          </w:p>
          <w:p w14:paraId="2EC2443B">
            <w:pPr>
              <w:adjustRightInd w:val="0"/>
              <w:snapToGrid w:val="0"/>
              <w:spacing w:line="320" w:lineRule="exact"/>
              <w:ind w:firstLine="420" w:firstLineChars="200"/>
              <w:rPr>
                <w:rFonts w:ascii="Times New Roman" w:hAnsi="Times New Roman" w:eastAsia="宋体" w:cs="Times New Roman"/>
                <w:kern w:val="2"/>
                <w:sz w:val="21"/>
                <w:lang w:val="en-US" w:eastAsia="zh-CN" w:bidi="ar-SA"/>
              </w:rPr>
            </w:pPr>
            <w:r>
              <w:rPr>
                <w:rFonts w:hint="eastAsia" w:ascii="Times New Roman" w:hAnsi="Times New Roman"/>
                <w:lang w:val="en-US" w:eastAsia="zh-CN"/>
              </w:rPr>
              <w:t>注：提供中标（成交）通知书或合同复印件等并加盖供应商鲜章。</w:t>
            </w:r>
          </w:p>
        </w:tc>
      </w:tr>
    </w:tbl>
    <w:p w14:paraId="0B2114EB">
      <w:pPr>
        <w:adjustRightInd w:val="0"/>
        <w:snapToGrid w:val="0"/>
        <w:spacing w:line="320" w:lineRule="exac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eastAsia="zh-CN"/>
          <w14:textFill>
            <w14:solidFill>
              <w14:schemeClr w14:val="tx1"/>
            </w14:solidFill>
          </w14:textFill>
        </w:rPr>
        <w:t>注</w:t>
      </w:r>
      <w:r>
        <w:rPr>
          <w:rFonts w:hint="eastAsia" w:ascii="Times New Roman" w:hAnsi="Times New Roman"/>
          <w:color w:val="000000" w:themeColor="text1"/>
          <w:szCs w:val="21"/>
          <w:lang w:val="en-US" w:eastAsia="zh-CN"/>
          <w14:textFill>
            <w14:solidFill>
              <w14:schemeClr w14:val="tx1"/>
            </w14:solidFill>
          </w14:textFill>
        </w:rPr>
        <w:t>：</w:t>
      </w:r>
      <w:r>
        <w:rPr>
          <w:rFonts w:ascii="Times New Roman" w:hAnsi="Times New Roman"/>
          <w:color w:val="000000" w:themeColor="text1"/>
          <w:szCs w:val="21"/>
          <w14:textFill>
            <w14:solidFill>
              <w14:schemeClr w14:val="tx1"/>
            </w14:solidFill>
          </w14:textFill>
        </w:rPr>
        <w:t>总分值=（一）+（二）+（三）+（四）</w:t>
      </w:r>
    </w:p>
    <w:p w14:paraId="7411D7BC">
      <w:pPr>
        <w:adjustRightInd w:val="0"/>
        <w:snapToGrid w:val="0"/>
        <w:spacing w:line="560" w:lineRule="exact"/>
        <w:ind w:firstLine="646" w:firstLineChars="202"/>
        <w:outlineLvl w:val="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三、成交候选人推荐原则</w:t>
      </w:r>
    </w:p>
    <w:p w14:paraId="404D5B33">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供应商提交的材料进行综合评分，按照得分由高到低顺序得出成交候选人名单，评审得分相同的，按照技术指标优劣排序。成交原则为排序顺位第一的供应商。如成交供应商因不可抗力提出不能履行合同，顺位选择第二排名的供应商，以此类推。</w:t>
      </w:r>
    </w:p>
    <w:sectPr>
      <w:pgSz w:w="11906" w:h="16838"/>
      <w:pgMar w:top="1701"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97A173-9128-4492-AABF-964510067D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80F3C52" w:usb2="00000016" w:usb3="00000000" w:csb0="0004001F" w:csb1="00000000"/>
    <w:embedRegular r:id="rId2" w:fontKey="{EE6B33AA-3FBA-47EB-84E9-504FB89393CC}"/>
  </w:font>
  <w:font w:name="方正仿宋_GB2312">
    <w:altName w:val="仿宋"/>
    <w:panose1 w:val="02000000000000000000"/>
    <w:charset w:val="86"/>
    <w:family w:val="auto"/>
    <w:pitch w:val="default"/>
    <w:sig w:usb0="00000000" w:usb1="00000000" w:usb2="00000012" w:usb3="00000000" w:csb0="00040001" w:csb1="00000000"/>
    <w:embedRegular r:id="rId3" w:fontKey="{6DC44EA3-75A2-4717-A066-8425BCB7E4B6}"/>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EA3E75A3-8D59-4CC1-A910-3AD0C3EBE6A2}"/>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2AAB5"/>
    <w:multiLevelType w:val="multilevel"/>
    <w:tmpl w:val="9352AAB5"/>
    <w:lvl w:ilvl="0" w:tentative="0">
      <w:start w:val="1"/>
      <w:numFmt w:val="chineseCounting"/>
      <w:suff w:val="nothing"/>
      <w:lvlText w:val="%1、"/>
      <w:lvlJc w:val="left"/>
      <w:pPr>
        <w:tabs>
          <w:tab w:val="left" w:pos="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3"/>
      <w:isLgl/>
      <w:lvlText w:val="%1.%2.%3.%4."/>
      <w:lvlJc w:val="left"/>
      <w:pPr>
        <w:ind w:left="-1007" w:hanging="864"/>
      </w:pPr>
      <w:rPr>
        <w:rFonts w:hint="eastAsia" w:ascii="Times New Roman" w:hAnsi="Times New Roman" w:cs="Times New Roman"/>
      </w:rPr>
    </w:lvl>
    <w:lvl w:ilvl="4" w:tentative="0">
      <w:start w:val="1"/>
      <w:numFmt w:val="decimal"/>
      <w:isLgl/>
      <w:lvlText w:val="%1.%2.%3.%4.%5."/>
      <w:lvlJc w:val="left"/>
      <w:pPr>
        <w:ind w:left="-864" w:hanging="1008"/>
      </w:pPr>
      <w:rPr>
        <w:rFonts w:hint="eastAsia" w:ascii="Times New Roman" w:hAnsi="Times New Roman" w:eastAsia="宋体" w:cs="Times New Roman"/>
      </w:rPr>
    </w:lvl>
    <w:lvl w:ilvl="5" w:tentative="0">
      <w:start w:val="1"/>
      <w:numFmt w:val="decimal"/>
      <w:isLgl/>
      <w:lvlText w:val="%1.%2.%3.%4.%5.%6."/>
      <w:lvlJc w:val="left"/>
      <w:pPr>
        <w:ind w:left="3309" w:hanging="1151"/>
      </w:pPr>
      <w:rPr>
        <w:rFonts w:hint="eastAsia"/>
      </w:rPr>
    </w:lvl>
    <w:lvl w:ilvl="6" w:tentative="0">
      <w:start w:val="1"/>
      <w:numFmt w:val="decimal"/>
      <w:isLgl/>
      <w:lvlText w:val="%1.%2.%3.%4.%5.%6.%7."/>
      <w:lvlJc w:val="left"/>
      <w:pPr>
        <w:ind w:left="345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D33FF615"/>
    <w:multiLevelType w:val="singleLevel"/>
    <w:tmpl w:val="D33FF615"/>
    <w:lvl w:ilvl="0" w:tentative="0">
      <w:start w:val="1"/>
      <w:numFmt w:val="decimal"/>
      <w:pStyle w:val="4"/>
      <w:lvlText w:val="%1."/>
      <w:lvlJc w:val="left"/>
      <w:pPr>
        <w:tabs>
          <w:tab w:val="left" w:pos="360"/>
        </w:tabs>
        <w:ind w:left="360" w:hanging="360"/>
      </w:pPr>
    </w:lvl>
  </w:abstractNum>
  <w:abstractNum w:abstractNumId="2">
    <w:nsid w:val="FD6A3059"/>
    <w:multiLevelType w:val="singleLevel"/>
    <w:tmpl w:val="FD6A3059"/>
    <w:lvl w:ilvl="0" w:tentative="0">
      <w:start w:val="1"/>
      <w:numFmt w:val="decimal"/>
      <w:suff w:val="nothing"/>
      <w:lvlText w:val="%1、"/>
      <w:lvlJc w:val="left"/>
    </w:lvl>
  </w:abstractNum>
  <w:abstractNum w:abstractNumId="3">
    <w:nsid w:val="6FF64015"/>
    <w:multiLevelType w:val="singleLevel"/>
    <w:tmpl w:val="6FF64015"/>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NDI1MWM5NGI5YjZlODc2MGFjOWYzZDQ2ZTkyZjUifQ=="/>
  </w:docVars>
  <w:rsids>
    <w:rsidRoot w:val="0785655A"/>
    <w:rsid w:val="00E54114"/>
    <w:rsid w:val="00FE0EB2"/>
    <w:rsid w:val="01AA1AC9"/>
    <w:rsid w:val="044511F7"/>
    <w:rsid w:val="0785655A"/>
    <w:rsid w:val="087821DE"/>
    <w:rsid w:val="08F45EE4"/>
    <w:rsid w:val="0B7D1302"/>
    <w:rsid w:val="0E1614BF"/>
    <w:rsid w:val="10E9013F"/>
    <w:rsid w:val="11174F6F"/>
    <w:rsid w:val="146975C2"/>
    <w:rsid w:val="15E74C42"/>
    <w:rsid w:val="16BF171B"/>
    <w:rsid w:val="188F4A22"/>
    <w:rsid w:val="19F409BD"/>
    <w:rsid w:val="1B6C7065"/>
    <w:rsid w:val="1C536B8E"/>
    <w:rsid w:val="1CD05AAA"/>
    <w:rsid w:val="1ED7548C"/>
    <w:rsid w:val="1FD509AD"/>
    <w:rsid w:val="2435663B"/>
    <w:rsid w:val="25513E86"/>
    <w:rsid w:val="2643449F"/>
    <w:rsid w:val="29D30788"/>
    <w:rsid w:val="2A7523C5"/>
    <w:rsid w:val="2BA83991"/>
    <w:rsid w:val="2BC35E3C"/>
    <w:rsid w:val="2C2C2F57"/>
    <w:rsid w:val="2F6FD71B"/>
    <w:rsid w:val="30954C40"/>
    <w:rsid w:val="327C6EE8"/>
    <w:rsid w:val="327E245C"/>
    <w:rsid w:val="32E43A47"/>
    <w:rsid w:val="331D1F7D"/>
    <w:rsid w:val="355D1808"/>
    <w:rsid w:val="35CA5CBB"/>
    <w:rsid w:val="36A06C23"/>
    <w:rsid w:val="374750E9"/>
    <w:rsid w:val="3B74097D"/>
    <w:rsid w:val="3BFEDCF0"/>
    <w:rsid w:val="3BFF356B"/>
    <w:rsid w:val="3CED622E"/>
    <w:rsid w:val="40336DCD"/>
    <w:rsid w:val="41172BB8"/>
    <w:rsid w:val="41960394"/>
    <w:rsid w:val="43CF0940"/>
    <w:rsid w:val="457C4AF8"/>
    <w:rsid w:val="45B6491C"/>
    <w:rsid w:val="45D71D2E"/>
    <w:rsid w:val="466F7CF9"/>
    <w:rsid w:val="47E726FC"/>
    <w:rsid w:val="49C66341"/>
    <w:rsid w:val="4E092CA1"/>
    <w:rsid w:val="4E2C6EE0"/>
    <w:rsid w:val="4E6C5709"/>
    <w:rsid w:val="502D2C76"/>
    <w:rsid w:val="51657995"/>
    <w:rsid w:val="541D7BD3"/>
    <w:rsid w:val="59FFE6EA"/>
    <w:rsid w:val="5D4C0510"/>
    <w:rsid w:val="64CF1116"/>
    <w:rsid w:val="652E102B"/>
    <w:rsid w:val="66510C5E"/>
    <w:rsid w:val="6851637F"/>
    <w:rsid w:val="69316C8A"/>
    <w:rsid w:val="69D16911"/>
    <w:rsid w:val="69FE33CB"/>
    <w:rsid w:val="6BBE4C73"/>
    <w:rsid w:val="6E4A2219"/>
    <w:rsid w:val="6F0B5D43"/>
    <w:rsid w:val="6FFB0243"/>
    <w:rsid w:val="6FFB6A53"/>
    <w:rsid w:val="72BA6194"/>
    <w:rsid w:val="742C4E6F"/>
    <w:rsid w:val="759251A6"/>
    <w:rsid w:val="778F56FA"/>
    <w:rsid w:val="77C72FBE"/>
    <w:rsid w:val="78F16C38"/>
    <w:rsid w:val="797B41A3"/>
    <w:rsid w:val="7A0F1BF1"/>
    <w:rsid w:val="7BE35F69"/>
    <w:rsid w:val="7CEC2D57"/>
    <w:rsid w:val="7CF68C59"/>
    <w:rsid w:val="7D781125"/>
    <w:rsid w:val="7E6FA6D8"/>
    <w:rsid w:val="7FEB21BE"/>
    <w:rsid w:val="7FEF6BB5"/>
    <w:rsid w:val="7FFBBF65"/>
    <w:rsid w:val="9BBFD807"/>
    <w:rsid w:val="A6FD2339"/>
    <w:rsid w:val="AFFAD389"/>
    <w:rsid w:val="BFFE2830"/>
    <w:rsid w:val="CF7F899D"/>
    <w:rsid w:val="DF7A24EC"/>
    <w:rsid w:val="E49F704E"/>
    <w:rsid w:val="F5FDB81E"/>
    <w:rsid w:val="F7FF3313"/>
    <w:rsid w:val="FE9FC1EA"/>
    <w:rsid w:val="FEABCEA8"/>
    <w:rsid w:val="FEB74B5B"/>
    <w:rsid w:val="FEFFF51B"/>
    <w:rsid w:val="FFF7E5D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1"/>
    <w:next w:val="1"/>
    <w:autoRedefine/>
    <w:unhideWhenUsed/>
    <w:qFormat/>
    <w:uiPriority w:val="0"/>
    <w:pPr>
      <w:keepNext/>
      <w:keepLines/>
      <w:numPr>
        <w:ilvl w:val="3"/>
        <w:numId w:val="1"/>
      </w:numPr>
      <w:spacing w:beforeLines="0" w:beforeAutospacing="0" w:afterLines="0" w:afterAutospacing="0" w:line="372" w:lineRule="auto"/>
      <w:ind w:left="-1007" w:hanging="864" w:firstLineChars="0"/>
      <w:outlineLvl w:val="3"/>
    </w:pPr>
    <w:rPr>
      <w:rFonts w:ascii="Arial" w:hAnsi="Arial" w:eastAsia="宋体" w:cs="Times New Roman"/>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numPr>
        <w:ilvl w:val="0"/>
        <w:numId w:val="2"/>
      </w:numPr>
    </w:pPr>
  </w:style>
  <w:style w:type="paragraph" w:styleId="5">
    <w:name w:val="annotation text"/>
    <w:basedOn w:val="1"/>
    <w:link w:val="15"/>
    <w:autoRedefine/>
    <w:qFormat/>
    <w:uiPriority w:val="0"/>
    <w:pPr>
      <w:jc w:val="left"/>
    </w:pPr>
  </w:style>
  <w:style w:type="paragraph" w:styleId="6">
    <w:name w:val="Body Text"/>
    <w:basedOn w:val="1"/>
    <w:next w:val="1"/>
    <w:autoRedefine/>
    <w:unhideWhenUsed/>
    <w:qFormat/>
    <w:uiPriority w:val="0"/>
    <w:pPr>
      <w:spacing w:after="120"/>
    </w:pPr>
  </w:style>
  <w:style w:type="paragraph" w:styleId="7">
    <w:name w:val="Plain Text"/>
    <w:basedOn w:val="1"/>
    <w:next w:val="1"/>
    <w:autoRedefine/>
    <w:qFormat/>
    <w:uiPriority w:val="0"/>
    <w:rPr>
      <w:rFonts w:ascii="宋体" w:hAnsi="Courier New"/>
    </w:rPr>
  </w:style>
  <w:style w:type="paragraph" w:styleId="8">
    <w:name w:val="Normal (Web)"/>
    <w:basedOn w:val="1"/>
    <w:autoRedefine/>
    <w:qFormat/>
    <w:uiPriority w:val="0"/>
    <w:rPr>
      <w:sz w:val="24"/>
    </w:rPr>
  </w:style>
  <w:style w:type="paragraph" w:styleId="9">
    <w:name w:val="annotation subject"/>
    <w:basedOn w:val="5"/>
    <w:next w:val="5"/>
    <w:link w:val="16"/>
    <w:autoRedefine/>
    <w:qFormat/>
    <w:uiPriority w:val="0"/>
    <w:rPr>
      <w:b/>
      <w:bCs/>
    </w:rPr>
  </w:style>
  <w:style w:type="table" w:styleId="11">
    <w:name w:val="Table Grid"/>
    <w:basedOn w:val="1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customStyle="1" w:styleId="14">
    <w:name w:val="列出段落11"/>
    <w:basedOn w:val="1"/>
    <w:autoRedefine/>
    <w:qFormat/>
    <w:uiPriority w:val="34"/>
    <w:pPr>
      <w:ind w:firstLine="420" w:firstLineChars="200"/>
    </w:pPr>
    <w:rPr>
      <w:rFonts w:asciiTheme="minorHAnsi" w:hAnsiTheme="minorHAnsi" w:eastAsiaTheme="minorEastAsia" w:cstheme="minorBidi"/>
    </w:rPr>
  </w:style>
  <w:style w:type="character" w:customStyle="1" w:styleId="15">
    <w:name w:val="批注文字 字符"/>
    <w:basedOn w:val="12"/>
    <w:link w:val="5"/>
    <w:autoRedefine/>
    <w:qFormat/>
    <w:uiPriority w:val="0"/>
    <w:rPr>
      <w:rFonts w:ascii="Calibri" w:hAnsi="Calibri" w:eastAsia="宋体" w:cs="Times New Roman"/>
      <w:kern w:val="2"/>
      <w:sz w:val="21"/>
      <w:lang w:bidi="ar-SA"/>
    </w:rPr>
  </w:style>
  <w:style w:type="character" w:customStyle="1" w:styleId="16">
    <w:name w:val="批注主题 字符"/>
    <w:basedOn w:val="15"/>
    <w:link w:val="9"/>
    <w:autoRedefine/>
    <w:qFormat/>
    <w:uiPriority w:val="0"/>
    <w:rPr>
      <w:rFonts w:ascii="Calibri" w:hAnsi="Calibri" w:eastAsia="宋体" w:cs="Times New Roman"/>
      <w:b/>
      <w:bCs/>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1416</Words>
  <Characters>1490</Characters>
  <Lines>17</Lines>
  <Paragraphs>4</Paragraphs>
  <TotalTime>43</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2023-03-13T06:14:00Z</dcterms:created>
  <dc:creator>WPS_465383031</dc:creator>
  <cp:lastModifiedBy>Dechen</cp:lastModifiedBy>
  <cp:lastPrinted>2025-03-24T07:56:00Z</cp:lastPrinted>
  <dcterms:modified xsi:type="dcterms:W3CDTF">2026-04-02T09:10:28Z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0BADE19F131A40CD9961D685F78F8436_13</vt:lpwstr>
  </property>
  <property fmtid="{D5CDD505-2E9C-101B-9397-08002B2CF9AE}" pid="4" name="KSOTemplateDocerSaveRecord">
    <vt:lpwstr>eyJoZGlkIjoiMzEwNTM5NzYwMDRjMzkwZTVkZjY2ODkwMGIxNGU0OTUiLCJ1c2VySWQiOiIyOTM5MTMyNzcifQ==</vt:lpwstr>
  </property>
</Properties>
</file>