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BC734">
      <w:pPr>
        <w:pStyle w:val="2"/>
        <w:widowControl/>
        <w:spacing w:before="0" w:beforeLines="0" w:beforeAutospacing="0" w:after="0" w:afterLines="0" w:afterAutospacing="0" w:line="380" w:lineRule="atLeast"/>
        <w:rPr>
          <w:rFonts w:hint="eastAsia" w:ascii="方正仿宋_GBK" w:hAnsi="方正仿宋_GBK" w:eastAsia="方正仿宋_GBK" w:cs="方正仿宋_GBK"/>
          <w:sz w:val="21"/>
          <w:szCs w:val="21"/>
        </w:rPr>
      </w:pPr>
      <w:bookmarkStart w:id="0" w:name="_GoBack"/>
      <w:bookmarkEnd w:id="0"/>
      <w:r>
        <w:rPr>
          <w:rFonts w:hint="eastAsia" w:ascii="方正仿宋_GBK" w:hAnsi="方正仿宋_GBK" w:eastAsia="方正仿宋_GBK" w:cs="方正仿宋_GBK"/>
          <w:sz w:val="21"/>
          <w:szCs w:val="21"/>
        </w:rPr>
        <w:t>附件2</w:t>
      </w:r>
    </w:p>
    <w:p w14:paraId="34224CAD">
      <w:pPr>
        <w:pStyle w:val="2"/>
        <w:widowControl/>
        <w:spacing w:beforeLines="0" w:beforeAutospacing="0" w:afterLines="0" w:afterAutospacing="0"/>
        <w:jc w:val="center"/>
        <w:rPr>
          <w:rStyle w:val="5"/>
          <w:rFonts w:hint="eastAsia" w:ascii="黑体" w:hAnsi="黑体" w:eastAsia="黑体" w:cs="黑体"/>
          <w:sz w:val="36"/>
          <w:szCs w:val="36"/>
        </w:rPr>
      </w:pPr>
      <w:r>
        <w:rPr>
          <w:rStyle w:val="5"/>
          <w:rFonts w:hint="eastAsia" w:ascii="黑体" w:hAnsi="黑体" w:eastAsia="黑体" w:cs="黑体"/>
          <w:sz w:val="36"/>
          <w:szCs w:val="36"/>
        </w:rPr>
        <w:t>评分表</w:t>
      </w:r>
    </w:p>
    <w:tbl>
      <w:tblPr>
        <w:tblStyle w:val="3"/>
        <w:tblW w:w="863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404"/>
        <w:gridCol w:w="740"/>
        <w:gridCol w:w="666"/>
        <w:gridCol w:w="5879"/>
        <w:gridCol w:w="949"/>
      </w:tblGrid>
      <w:tr w14:paraId="2352FE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0" w:hRule="atLeast"/>
          <w:tblHeader/>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4AE98B83">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序号</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6EA72B41">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评审项目</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18D7A0BB">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标准分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37D00CD4">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评分说明和标准</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3AC15CDB">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得分</w:t>
            </w:r>
          </w:p>
        </w:tc>
      </w:tr>
      <w:tr w14:paraId="318D73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13"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175B6535">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1</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61347024">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报价</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34A4DCB9">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30分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6A692371">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价格分采用低价优先法计算，在有效响应报价的基础上确定评标基准价，即满足询价文件要求且响应价格最低的报价为评标基准价，其价格分为满分30分：</w:t>
            </w:r>
          </w:p>
          <w:p w14:paraId="60EB10FB">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其他响应人的价格分按照下列公式计算：</w:t>
            </w:r>
          </w:p>
          <w:p w14:paraId="633C323C">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得分=（最低价/响应报价）×30</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3C8C1ACC">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3967A3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35"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008AE79D">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2</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5E71FE9C">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拟投入的仪器设备情况</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6DA56B7D">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10分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181AF204">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根据本项目具体情况，按工作特点、性质投入有针对性、科学可行、提升效率的仪器设备，包括原子吸收分光光度计、原子</w:t>
            </w:r>
            <w:r>
              <w:rPr>
                <w:rFonts w:hint="eastAsia" w:ascii="方正仿宋_GBK" w:hAnsi="方正仿宋_GBK" w:eastAsia="方正仿宋_GBK" w:cs="方正仿宋_GBK"/>
                <w:sz w:val="15"/>
                <w:szCs w:val="15"/>
                <w:lang w:val="en-US" w:eastAsia="zh-CN"/>
              </w:rPr>
              <w:t>荧光</w:t>
            </w:r>
            <w:r>
              <w:rPr>
                <w:rFonts w:hint="eastAsia" w:ascii="方正仿宋_GBK" w:hAnsi="方正仿宋_GBK" w:eastAsia="方正仿宋_GBK" w:cs="方正仿宋_GBK"/>
                <w:sz w:val="15"/>
                <w:szCs w:val="15"/>
              </w:rPr>
              <w:t>分光光度计</w:t>
            </w:r>
            <w:r>
              <w:rPr>
                <w:rFonts w:hint="eastAsia" w:ascii="方正仿宋_GBK" w:hAnsi="方正仿宋_GBK" w:eastAsia="方正仿宋_GBK" w:cs="方正仿宋_GBK"/>
                <w:sz w:val="15"/>
                <w:szCs w:val="15"/>
                <w:lang w:eastAsia="zh-CN"/>
              </w:rPr>
              <w:t>、</w:t>
            </w:r>
            <w:r>
              <w:rPr>
                <w:rFonts w:hint="eastAsia" w:ascii="方正仿宋_GBK" w:hAnsi="方正仿宋_GBK" w:eastAsia="方正仿宋_GBK" w:cs="方正仿宋_GBK"/>
                <w:sz w:val="15"/>
                <w:szCs w:val="15"/>
              </w:rPr>
              <w:t>液相色谱仪、气相色谱仪、</w:t>
            </w:r>
            <w:r>
              <w:rPr>
                <w:rFonts w:hint="eastAsia" w:ascii="方正仿宋_GBK" w:hAnsi="方正仿宋_GBK" w:eastAsia="方正仿宋_GBK" w:cs="方正仿宋_GBK"/>
                <w:sz w:val="15"/>
                <w:szCs w:val="15"/>
                <w:lang w:val="en-US" w:eastAsia="zh-CN"/>
              </w:rPr>
              <w:t>ICP-MS或ICP、GS-MS</w:t>
            </w:r>
            <w:r>
              <w:rPr>
                <w:rFonts w:hint="eastAsia" w:ascii="方正仿宋_GBK" w:hAnsi="方正仿宋_GBK" w:eastAsia="方正仿宋_GBK" w:cs="方正仿宋_GBK"/>
                <w:sz w:val="15"/>
                <w:szCs w:val="15"/>
              </w:rPr>
              <w:t>、紫外可见分光光度计。针对本项目拟投入的设备5套</w:t>
            </w:r>
            <w:r>
              <w:rPr>
                <w:rFonts w:hint="eastAsia" w:ascii="方正仿宋_GBK" w:hAnsi="方正仿宋_GBK" w:eastAsia="方正仿宋_GBK" w:cs="方正仿宋_GBK"/>
                <w:sz w:val="15"/>
                <w:szCs w:val="15"/>
                <w:lang w:eastAsia="zh-CN"/>
              </w:rPr>
              <w:t>及</w:t>
            </w:r>
            <w:r>
              <w:rPr>
                <w:rFonts w:hint="eastAsia" w:ascii="方正仿宋_GBK" w:hAnsi="方正仿宋_GBK" w:eastAsia="方正仿宋_GBK" w:cs="方正仿宋_GBK"/>
                <w:sz w:val="15"/>
                <w:szCs w:val="15"/>
              </w:rPr>
              <w:t>以上，配置充足、科学合理，贴合项目需求，能够充分满足项目需求的，得</w:t>
            </w:r>
            <w:r>
              <w:rPr>
                <w:rFonts w:hint="eastAsia" w:ascii="方正仿宋_GBK" w:hAnsi="方正仿宋_GBK" w:eastAsia="方正仿宋_GBK" w:cs="方正仿宋_GBK"/>
                <w:sz w:val="15"/>
                <w:szCs w:val="15"/>
                <w:lang w:val="en-US" w:eastAsia="zh-CN"/>
              </w:rPr>
              <w:t>6-</w:t>
            </w:r>
            <w:r>
              <w:rPr>
                <w:rFonts w:hint="eastAsia" w:ascii="方正仿宋_GBK" w:hAnsi="方正仿宋_GBK" w:eastAsia="方正仿宋_GBK" w:cs="方正仿宋_GBK"/>
                <w:sz w:val="15"/>
                <w:szCs w:val="15"/>
              </w:rPr>
              <w:t>10分；针对本项目拟投入的设备配置基本能够满足项目需求的，得</w:t>
            </w:r>
            <w:r>
              <w:rPr>
                <w:rFonts w:hint="eastAsia" w:ascii="方正仿宋_GBK" w:hAnsi="方正仿宋_GBK" w:eastAsia="方正仿宋_GBK" w:cs="方正仿宋_GBK"/>
                <w:sz w:val="15"/>
                <w:szCs w:val="15"/>
                <w:lang w:val="en-US" w:eastAsia="zh-CN"/>
              </w:rPr>
              <w:t>1-</w:t>
            </w:r>
            <w:r>
              <w:rPr>
                <w:rFonts w:hint="eastAsia" w:ascii="方正仿宋_GBK" w:hAnsi="方正仿宋_GBK" w:eastAsia="方正仿宋_GBK" w:cs="方正仿宋_GBK"/>
                <w:sz w:val="15"/>
                <w:szCs w:val="15"/>
              </w:rPr>
              <w:t>5分；设备配置不满足的，得0分。</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3A84A432">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46FBFD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7458AB5A">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3</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51C6A0C9">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同类项目业绩</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607DB9A1">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10分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7BABCA72">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近年来承担相关业绩数量，每个业绩得2分，满分10分。</w:t>
            </w:r>
          </w:p>
          <w:p w14:paraId="0D75D179">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注：提供中标/成交通知书或合同关键页等证明材料复印件。未按上述要求提供或评标委员会无法判定的业绩证明文件视为无效业绩。</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04DCBE58">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25C1F8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1E484C66">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4</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3D399D34">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技术实力</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3CC2A144">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20分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5F4101C7">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参加</w:t>
            </w:r>
            <w:r>
              <w:rPr>
                <w:rFonts w:hint="eastAsia" w:ascii="方正仿宋_GBK" w:hAnsi="方正仿宋_GBK" w:eastAsia="方正仿宋_GBK" w:cs="方正仿宋_GBK"/>
                <w:sz w:val="15"/>
                <w:szCs w:val="15"/>
                <w:lang w:val="en-US" w:eastAsia="zh-CN"/>
              </w:rPr>
              <w:t>自治区监测技术竞赛</w:t>
            </w:r>
            <w:r>
              <w:rPr>
                <w:rFonts w:hint="eastAsia" w:ascii="方正仿宋_GBK" w:hAnsi="方正仿宋_GBK" w:eastAsia="方正仿宋_GBK" w:cs="方正仿宋_GBK"/>
                <w:sz w:val="15"/>
                <w:szCs w:val="15"/>
              </w:rPr>
              <w:t>获得嘉奖</w:t>
            </w:r>
            <w:r>
              <w:rPr>
                <w:rFonts w:hint="eastAsia" w:ascii="方正仿宋_GBK" w:hAnsi="方正仿宋_GBK" w:eastAsia="方正仿宋_GBK" w:cs="方正仿宋_GBK"/>
                <w:sz w:val="15"/>
                <w:szCs w:val="15"/>
                <w:lang w:val="en-US" w:eastAsia="zh-CN"/>
              </w:rPr>
              <w:t>或</w:t>
            </w:r>
            <w:r>
              <w:rPr>
                <w:rFonts w:hint="eastAsia" w:ascii="方正仿宋_GBK" w:hAnsi="方正仿宋_GBK" w:eastAsia="方正仿宋_GBK" w:cs="方正仿宋_GBK"/>
                <w:sz w:val="15"/>
                <w:szCs w:val="15"/>
              </w:rPr>
              <w:t>参加全区社会监测机构盲样考核</w:t>
            </w:r>
            <w:r>
              <w:rPr>
                <w:rFonts w:hint="eastAsia" w:ascii="方正仿宋_GBK" w:hAnsi="方正仿宋_GBK" w:eastAsia="方正仿宋_GBK" w:cs="方正仿宋_GBK"/>
                <w:sz w:val="15"/>
                <w:szCs w:val="15"/>
                <w:lang w:val="en-US" w:eastAsia="zh-CN"/>
              </w:rPr>
              <w:t>合格率</w:t>
            </w:r>
            <w:r>
              <w:rPr>
                <w:rFonts w:hint="eastAsia" w:ascii="方正仿宋_GBK" w:hAnsi="方正仿宋_GBK" w:eastAsia="方正仿宋_GBK" w:cs="方正仿宋_GBK"/>
                <w:sz w:val="15"/>
                <w:szCs w:val="15"/>
              </w:rPr>
              <w:t>排名前三的；每</w:t>
            </w:r>
            <w:r>
              <w:rPr>
                <w:rFonts w:hint="eastAsia" w:ascii="方正仿宋_GBK" w:hAnsi="方正仿宋_GBK" w:eastAsia="方正仿宋_GBK" w:cs="方正仿宋_GBK"/>
                <w:sz w:val="15"/>
                <w:szCs w:val="15"/>
                <w:lang w:val="en-US" w:eastAsia="zh-CN"/>
              </w:rPr>
              <w:t>满足一个条件</w:t>
            </w:r>
            <w:r>
              <w:rPr>
                <w:rFonts w:hint="eastAsia" w:ascii="方正仿宋_GBK" w:hAnsi="方正仿宋_GBK" w:eastAsia="方正仿宋_GBK" w:cs="方正仿宋_GBK"/>
                <w:sz w:val="15"/>
                <w:szCs w:val="15"/>
              </w:rPr>
              <w:t>得5分，满分20分。以上需提供证书复印件或主办部门发布的</w:t>
            </w:r>
            <w:r>
              <w:rPr>
                <w:rFonts w:hint="eastAsia" w:ascii="方正仿宋_GBK" w:hAnsi="方正仿宋_GBK" w:eastAsia="方正仿宋_GBK" w:cs="方正仿宋_GBK"/>
                <w:sz w:val="15"/>
                <w:szCs w:val="15"/>
                <w:lang w:eastAsia="zh-CN"/>
              </w:rPr>
              <w:t>通报</w:t>
            </w:r>
            <w:r>
              <w:rPr>
                <w:rFonts w:hint="eastAsia" w:ascii="方正仿宋_GBK" w:hAnsi="方正仿宋_GBK" w:eastAsia="方正仿宋_GBK" w:cs="方正仿宋_GBK"/>
                <w:sz w:val="15"/>
                <w:szCs w:val="15"/>
              </w:rPr>
              <w:t>文件复印件。</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7319B59C">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745B98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111C0CB2">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5</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7504C817">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具有良好的商业信誉</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5737ACCE">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5分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270A11C3">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申请人近三年内未被列入失信被执行人、重大税收违法案件当事人名单、政府采购严重违法失信行为记录名单的供应商，提供信用中国等查询记录，得5分。未提供，得0分。</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7BE87195">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6F865D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1199089B">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6</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1230F541">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健全的财务会计制度</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0611E97A">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5分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4018B053">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提供近三年至少一年财务审计报告或财务报表，成立不足一年提供成立至今的财务报表，得5分。未提供，得0分。</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76D6CF13">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23A3D0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38CE55B4">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7</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4B56D95F">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资质要求</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61F839E5">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10分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19F1959E">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both"/>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6"/>
                <w:szCs w:val="16"/>
              </w:rPr>
              <w:t>提供检验检测资质证书及其附表，得10分。未提供，得0分。</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7DA0BF2C">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3E60D8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404" w:type="dxa"/>
            <w:tcBorders>
              <w:top w:val="outset" w:color="auto" w:sz="6" w:space="0"/>
              <w:left w:val="outset" w:color="auto" w:sz="6" w:space="0"/>
              <w:bottom w:val="outset" w:color="auto" w:sz="6" w:space="0"/>
              <w:right w:val="outset" w:color="auto" w:sz="6" w:space="0"/>
              <w:tl2br w:val="nil"/>
              <w:tr2bl w:val="nil"/>
            </w:tcBorders>
            <w:noWrap w:val="0"/>
            <w:vAlign w:val="center"/>
          </w:tcPr>
          <w:p w14:paraId="6FC66394">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8</w:t>
            </w:r>
          </w:p>
        </w:tc>
        <w:tc>
          <w:tcPr>
            <w:tcW w:w="740" w:type="dxa"/>
            <w:tcBorders>
              <w:top w:val="outset" w:color="auto" w:sz="6" w:space="0"/>
              <w:left w:val="outset" w:color="auto" w:sz="6" w:space="0"/>
              <w:bottom w:val="outset" w:color="auto" w:sz="6" w:space="0"/>
              <w:right w:val="outset" w:color="auto" w:sz="6" w:space="0"/>
              <w:tl2br w:val="nil"/>
              <w:tr2bl w:val="nil"/>
            </w:tcBorders>
            <w:noWrap w:val="0"/>
            <w:vAlign w:val="center"/>
          </w:tcPr>
          <w:p w14:paraId="08066AE7">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服务方案</w:t>
            </w:r>
          </w:p>
        </w:tc>
        <w:tc>
          <w:tcPr>
            <w:tcW w:w="666" w:type="dxa"/>
            <w:tcBorders>
              <w:top w:val="outset" w:color="auto" w:sz="6" w:space="0"/>
              <w:left w:val="outset" w:color="auto" w:sz="6" w:space="0"/>
              <w:bottom w:val="outset" w:color="auto" w:sz="6" w:space="0"/>
              <w:right w:val="outset" w:color="auto" w:sz="6" w:space="0"/>
              <w:tl2br w:val="nil"/>
              <w:tr2bl w:val="nil"/>
            </w:tcBorders>
            <w:noWrap w:val="0"/>
            <w:vAlign w:val="center"/>
          </w:tcPr>
          <w:p w14:paraId="66C7B728">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10分</w:t>
            </w:r>
          </w:p>
        </w:tc>
        <w:tc>
          <w:tcPr>
            <w:tcW w:w="5879" w:type="dxa"/>
            <w:tcBorders>
              <w:top w:val="outset" w:color="auto" w:sz="6" w:space="0"/>
              <w:left w:val="outset" w:color="auto" w:sz="6" w:space="0"/>
              <w:bottom w:val="outset" w:color="auto" w:sz="6" w:space="0"/>
              <w:right w:val="single" w:color="auto" w:sz="4" w:space="0"/>
              <w:tl2br w:val="nil"/>
              <w:tr2bl w:val="nil"/>
            </w:tcBorders>
            <w:noWrap w:val="0"/>
            <w:vAlign w:val="center"/>
          </w:tcPr>
          <w:p w14:paraId="2FEEDE25">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textAlignment w:val="auto"/>
              <w:rPr>
                <w:rFonts w:hint="eastAsia" w:ascii="方正仿宋_GBK" w:hAnsi="方正仿宋_GBK" w:eastAsia="方正仿宋_GBK" w:cs="方正仿宋_GBK"/>
                <w:sz w:val="15"/>
                <w:szCs w:val="15"/>
              </w:rPr>
            </w:pPr>
            <w:r>
              <w:rPr>
                <w:rFonts w:hint="eastAsia" w:ascii="方正仿宋_GBK" w:hAnsi="方正仿宋_GBK" w:eastAsia="方正仿宋_GBK" w:cs="方正仿宋_GBK"/>
                <w:sz w:val="15"/>
                <w:szCs w:val="15"/>
              </w:rPr>
              <w:t>本项目实施方案的完整性、合理性、可操作性及详细程度进行综合比较评分：方案完整、合理、详细有效。根据任务要求制定服务方案保证测试顺利开展，测试过程客观、真实和可追溯；保证实验室分析人员满足要求；项目组织严密，管理有效，得</w:t>
            </w:r>
            <w:r>
              <w:rPr>
                <w:rFonts w:hint="eastAsia" w:ascii="方正仿宋_GBK" w:hAnsi="方正仿宋_GBK" w:eastAsia="方正仿宋_GBK" w:cs="方正仿宋_GBK"/>
                <w:sz w:val="15"/>
                <w:szCs w:val="15"/>
                <w:lang w:val="en-US" w:eastAsia="zh-CN"/>
              </w:rPr>
              <w:t>6-</w:t>
            </w:r>
            <w:r>
              <w:rPr>
                <w:rFonts w:hint="eastAsia" w:ascii="方正仿宋_GBK" w:hAnsi="方正仿宋_GBK" w:eastAsia="方正仿宋_GBK" w:cs="方正仿宋_GBK"/>
                <w:sz w:val="15"/>
                <w:szCs w:val="15"/>
              </w:rPr>
              <w:t>10分；方案基本完整。根据任务要求制定服务方案，能基本保证实验室分析人员满足要求；项目组织较具体，管理较有效，得</w:t>
            </w:r>
            <w:r>
              <w:rPr>
                <w:rFonts w:hint="eastAsia" w:ascii="方正仿宋_GBK" w:hAnsi="方正仿宋_GBK" w:eastAsia="方正仿宋_GBK" w:cs="方正仿宋_GBK"/>
                <w:sz w:val="15"/>
                <w:szCs w:val="15"/>
                <w:lang w:val="en-US" w:eastAsia="zh-CN"/>
              </w:rPr>
              <w:t>1-</w:t>
            </w:r>
            <w:r>
              <w:rPr>
                <w:rFonts w:hint="eastAsia" w:ascii="方正仿宋_GBK" w:hAnsi="方正仿宋_GBK" w:eastAsia="方正仿宋_GBK" w:cs="方正仿宋_GBK"/>
                <w:sz w:val="15"/>
                <w:szCs w:val="15"/>
              </w:rPr>
              <w:t>5分；未提供服务方案，得0分。</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28352B65">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sz w:val="15"/>
                <w:szCs w:val="15"/>
              </w:rPr>
            </w:pPr>
          </w:p>
        </w:tc>
      </w:tr>
      <w:tr w14:paraId="6AA04C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2" w:hRule="atLeast"/>
          <w:jc w:val="center"/>
        </w:trPr>
        <w:tc>
          <w:tcPr>
            <w:tcW w:w="7689" w:type="dxa"/>
            <w:gridSpan w:val="4"/>
            <w:tcBorders>
              <w:top w:val="outset" w:color="auto" w:sz="6" w:space="0"/>
              <w:left w:val="outset" w:color="auto" w:sz="6" w:space="0"/>
              <w:bottom w:val="outset" w:color="auto" w:sz="6" w:space="0"/>
              <w:right w:val="single" w:color="auto" w:sz="4" w:space="0"/>
              <w:tl2br w:val="nil"/>
              <w:tr2bl w:val="nil"/>
            </w:tcBorders>
            <w:noWrap w:val="0"/>
            <w:vAlign w:val="center"/>
          </w:tcPr>
          <w:p w14:paraId="48E39419">
            <w:pPr>
              <w:pStyle w:val="2"/>
              <w:keepNext w:val="0"/>
              <w:keepLines w:val="0"/>
              <w:pageBreakBefore w:val="0"/>
              <w:widowControl/>
              <w:kinsoku/>
              <w:overflowPunct/>
              <w:topLinePunct w:val="0"/>
              <w:autoSpaceDE/>
              <w:autoSpaceDN/>
              <w:bidi w:val="0"/>
              <w:adjustRightInd/>
              <w:snapToGrid/>
              <w:spacing w:beforeLines="0" w:beforeAutospacing="0" w:afterLines="0" w:afterAutospacing="0" w:line="120" w:lineRule="auto"/>
              <w:jc w:val="center"/>
              <w:textAlignment w:val="auto"/>
              <w:rPr>
                <w:rFonts w:hint="eastAsia" w:ascii="方正仿宋_GBK" w:hAnsi="方正仿宋_GBK" w:eastAsia="方正仿宋_GBK" w:cs="方正仿宋_GBK"/>
                <w:b/>
                <w:sz w:val="15"/>
                <w:szCs w:val="15"/>
              </w:rPr>
            </w:pPr>
            <w:r>
              <w:rPr>
                <w:rFonts w:hint="eastAsia" w:ascii="方正仿宋_GBK" w:hAnsi="方正仿宋_GBK" w:eastAsia="方正仿宋_GBK" w:cs="方正仿宋_GBK"/>
                <w:b/>
                <w:sz w:val="15"/>
                <w:szCs w:val="15"/>
              </w:rPr>
              <w:t>总分</w:t>
            </w:r>
          </w:p>
        </w:tc>
        <w:tc>
          <w:tcPr>
            <w:tcW w:w="949" w:type="dxa"/>
            <w:tcBorders>
              <w:top w:val="outset" w:color="auto" w:sz="6" w:space="0"/>
              <w:left w:val="single" w:color="auto" w:sz="4" w:space="0"/>
              <w:bottom w:val="outset" w:color="auto" w:sz="6" w:space="0"/>
              <w:right w:val="outset" w:color="auto" w:sz="6" w:space="0"/>
              <w:tl2br w:val="nil"/>
              <w:tr2bl w:val="nil"/>
            </w:tcBorders>
            <w:noWrap w:val="0"/>
            <w:vAlign w:val="center"/>
          </w:tcPr>
          <w:p w14:paraId="01FA8A4D">
            <w:pPr>
              <w:keepNext w:val="0"/>
              <w:keepLines w:val="0"/>
              <w:pageBreakBefore w:val="0"/>
              <w:widowControl/>
              <w:kinsoku/>
              <w:overflowPunct/>
              <w:topLinePunct w:val="0"/>
              <w:autoSpaceDE/>
              <w:autoSpaceDN/>
              <w:bidi w:val="0"/>
              <w:adjustRightInd/>
              <w:snapToGrid/>
              <w:spacing w:beforeLines="0" w:afterLines="0" w:line="120" w:lineRule="auto"/>
              <w:jc w:val="center"/>
              <w:textAlignment w:val="auto"/>
              <w:rPr>
                <w:rFonts w:hint="eastAsia" w:ascii="方正仿宋_GBK" w:hAnsi="方正仿宋_GBK" w:eastAsia="方正仿宋_GBK" w:cs="方正仿宋_GBK"/>
                <w:kern w:val="0"/>
                <w:sz w:val="15"/>
                <w:szCs w:val="15"/>
              </w:rPr>
            </w:pPr>
          </w:p>
        </w:tc>
      </w:tr>
    </w:tbl>
    <w:p w14:paraId="3EF5CDAA">
      <w:pPr>
        <w:pStyle w:val="2"/>
        <w:widowControl/>
        <w:spacing w:beforeLines="0" w:beforeAutospacing="0" w:afterLines="0" w:afterAutospacing="0"/>
        <w:rPr>
          <w:rFonts w:hint="default"/>
          <w:sz w:val="24"/>
          <w:szCs w:val="24"/>
        </w:rPr>
      </w:pPr>
    </w:p>
    <w:p w14:paraId="3F6809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B5D0A"/>
    <w:rsid w:val="53823C26"/>
    <w:rsid w:val="5A107F9C"/>
    <w:rsid w:val="60C2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5">
    <w:name w:val="Strong"/>
    <w:basedOn w:val="4"/>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880</Words>
  <Characters>912</Characters>
  <Lines>0</Lines>
  <Paragraphs>0</Paragraphs>
  <TotalTime>17</TotalTime>
  <ScaleCrop>false</ScaleCrop>
  <LinksUpToDate>false</LinksUpToDate>
  <CharactersWithSpaces>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2025-01-20T02:47:00Z</dcterms:created>
  <dc:creator>Administrator</dc:creator>
  <cp:lastModifiedBy>Dechen</cp:lastModifiedBy>
  <cp:lastPrinted>2025-12-09T03:40:00Z</cp:lastPrinted>
  <dcterms:modified xsi:type="dcterms:W3CDTF">2025-12-10T04:23:14Z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eyJoZGlkIjoiZWVkYTU0MzdhOTBmOTZkNWQ2YWEwYzE0OTMwYzFiMjciLCJ1c2VySWQiOiI4MjEzODcyNjMifQ==</vt:lpwstr>
  </property>
  <property fmtid="{D5CDD505-2E9C-101B-9397-08002B2CF9AE}" pid="4" name="ICV">
    <vt:lpwstr>6B8EAC7FE79A4DB5B0D92ED1088AC537_13</vt:lpwstr>
  </property>
</Properties>
</file>