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7CBF8">
      <w:pPr>
        <w:widowControl w:val="0"/>
        <w:tabs>
          <w:tab w:val="left" w:pos="0"/>
        </w:tabs>
        <w:adjustRightInd w:val="0"/>
        <w:snapToGrid w:val="0"/>
        <w:spacing w:line="600" w:lineRule="exact"/>
        <w:jc w:val="left"/>
        <w:rPr>
          <w:rFonts w:ascii="Times New Roman" w:hAnsi="Times New Roman" w:eastAsia="黑体"/>
          <w:color w:val="000000" w:themeColor="text1"/>
          <w:sz w:val="28"/>
          <w:szCs w:val="28"/>
          <w14:textFill>
            <w14:solidFill>
              <w14:schemeClr w14:val="tx1"/>
            </w14:solidFill>
          </w14:textFill>
        </w:rPr>
      </w:pPr>
      <w:bookmarkStart w:id="0" w:name="_GoBack"/>
      <w:bookmarkEnd w:id="0"/>
      <w:r>
        <w:rPr>
          <w:rFonts w:ascii="Times New Roman" w:hAnsi="Times New Roman" w:eastAsia="黑体"/>
          <w:color w:val="000000" w:themeColor="text1"/>
          <w:sz w:val="28"/>
          <w:szCs w:val="28"/>
          <w14:textFill>
            <w14:solidFill>
              <w14:schemeClr w14:val="tx1"/>
            </w14:solidFill>
          </w14:textFill>
        </w:rPr>
        <w:t>附件2</w:t>
      </w:r>
    </w:p>
    <w:p w14:paraId="2DFBFF77">
      <w:pPr>
        <w:tabs>
          <w:tab w:val="left" w:pos="0"/>
        </w:tabs>
        <w:adjustRightInd w:val="0"/>
        <w:snapToGrid w:val="0"/>
        <w:spacing w:line="600" w:lineRule="exact"/>
        <w:jc w:val="center"/>
        <w:outlineLvl w:val="0"/>
        <w:rPr>
          <w:rFonts w:ascii="Times New Roman" w:hAnsi="Times New Roman" w:eastAsia="微软雅黑"/>
          <w:sz w:val="36"/>
          <w:szCs w:val="36"/>
        </w:rPr>
      </w:pPr>
      <w:r>
        <w:rPr>
          <w:rFonts w:hint="eastAsia" w:ascii="微软雅黑" w:hAnsi="微软雅黑" w:eastAsia="微软雅黑" w:cs="微软雅黑"/>
          <w:sz w:val="32"/>
          <w:szCs w:val="32"/>
        </w:rPr>
        <w:t>仪器设备检定/校准技术服务项目</w:t>
      </w:r>
      <w:r>
        <w:rPr>
          <w:rFonts w:ascii="Times New Roman" w:hAnsi="Times New Roman" w:eastAsia="微软雅黑"/>
          <w:sz w:val="36"/>
          <w:szCs w:val="36"/>
        </w:rPr>
        <w:t>综合评分办法</w:t>
      </w:r>
    </w:p>
    <w:p w14:paraId="73E1DBAE">
      <w:pPr>
        <w:adjustRightInd w:val="0"/>
        <w:snapToGrid w:val="0"/>
        <w:spacing w:line="560" w:lineRule="exact"/>
        <w:ind w:firstLine="646" w:firstLineChars="202"/>
        <w:outlineLvl w:val="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一、评审原则</w:t>
      </w:r>
    </w:p>
    <w:p w14:paraId="2297E76E">
      <w:pPr>
        <w:adjustRightInd w:val="0"/>
        <w:snapToGrid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（一）评审小组构成：本项目的评审小组由采购单位组建，成员人数为三人以上（含三人）单数。</w:t>
      </w:r>
    </w:p>
    <w:p w14:paraId="12E6C213">
      <w:pPr>
        <w:adjustRightInd w:val="0"/>
        <w:snapToGrid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（二）评审依据：本评审办法和供应商提交的响应文件。</w:t>
      </w:r>
    </w:p>
    <w:p w14:paraId="29A3D70A">
      <w:pPr>
        <w:adjustRightInd w:val="0"/>
        <w:snapToGrid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（三）评审方法：综合评分法。</w:t>
      </w:r>
    </w:p>
    <w:p w14:paraId="744A4762">
      <w:pPr>
        <w:adjustRightInd w:val="0"/>
        <w:snapToGrid w:val="0"/>
        <w:spacing w:line="560" w:lineRule="exact"/>
        <w:ind w:firstLine="646" w:firstLineChars="202"/>
        <w:outlineLvl w:val="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二、评审方法</w:t>
      </w:r>
    </w:p>
    <w:p w14:paraId="09DE9AA6">
      <w:pPr>
        <w:adjustRightInd w:val="0"/>
        <w:snapToGrid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供应商提交的报价及资格材料经初核符合要求的进入详评，评审小组将按本评审办法和响应文件为评定依据，采用百分制综合评分法：</w:t>
      </w:r>
    </w:p>
    <w:p w14:paraId="49A7CEEC">
      <w:pPr>
        <w:adjustRightInd w:val="0"/>
        <w:snapToGrid w:val="0"/>
        <w:spacing w:line="560" w:lineRule="exact"/>
        <w:ind w:firstLine="560" w:firstLineChars="200"/>
        <w:outlineLvl w:val="1"/>
        <w:rPr>
          <w:rFonts w:ascii="Times New Roman" w:hAnsi="Times New Roman" w:eastAsia="楷体_GB2312"/>
          <w:color w:val="000000"/>
          <w:sz w:val="28"/>
          <w:szCs w:val="28"/>
        </w:rPr>
      </w:pPr>
      <w:r>
        <w:rPr>
          <w:rFonts w:ascii="Times New Roman" w:hAnsi="Times New Roman" w:eastAsia="楷体_GB2312"/>
          <w:color w:val="000000"/>
          <w:sz w:val="28"/>
          <w:szCs w:val="28"/>
        </w:rPr>
        <w:t>（一）分值分配表</w:t>
      </w:r>
    </w:p>
    <w:tbl>
      <w:tblPr>
        <w:tblStyle w:val="10"/>
        <w:tblW w:w="9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3785"/>
        <w:gridCol w:w="3980"/>
      </w:tblGrid>
      <w:tr w14:paraId="31DC2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6" w:type="dxa"/>
          </w:tcPr>
          <w:p w14:paraId="5557FCF6">
            <w:pPr>
              <w:pStyle w:val="13"/>
              <w:widowControl w:val="0"/>
              <w:adjustRightInd w:val="0"/>
              <w:snapToGrid w:val="0"/>
              <w:spacing w:line="320" w:lineRule="exact"/>
              <w:ind w:firstLine="0" w:firstLineChars="0"/>
              <w:jc w:val="cente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序号</w:t>
            </w:r>
          </w:p>
        </w:tc>
        <w:tc>
          <w:tcPr>
            <w:tcW w:w="3785" w:type="dxa"/>
          </w:tcPr>
          <w:p w14:paraId="2690DDE5">
            <w:pPr>
              <w:pStyle w:val="13"/>
              <w:widowControl w:val="0"/>
              <w:adjustRightInd w:val="0"/>
              <w:snapToGrid w:val="0"/>
              <w:spacing w:line="320" w:lineRule="exact"/>
              <w:ind w:firstLine="0" w:firstLineChars="0"/>
              <w:jc w:val="cente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评分因素</w:t>
            </w:r>
          </w:p>
        </w:tc>
        <w:tc>
          <w:tcPr>
            <w:tcW w:w="3980" w:type="dxa"/>
          </w:tcPr>
          <w:p w14:paraId="413CE11C">
            <w:pPr>
              <w:pStyle w:val="13"/>
              <w:widowControl w:val="0"/>
              <w:adjustRightInd w:val="0"/>
              <w:snapToGrid w:val="0"/>
              <w:spacing w:line="320" w:lineRule="exact"/>
              <w:ind w:firstLine="0" w:firstLineChars="0"/>
              <w:jc w:val="cente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分值分配</w:t>
            </w:r>
          </w:p>
        </w:tc>
      </w:tr>
      <w:tr w14:paraId="114B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6" w:type="dxa"/>
          </w:tcPr>
          <w:p w14:paraId="46991A35">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w:t>
            </w:r>
          </w:p>
        </w:tc>
        <w:tc>
          <w:tcPr>
            <w:tcW w:w="3785" w:type="dxa"/>
          </w:tcPr>
          <w:p w14:paraId="108E96B3">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价格分</w:t>
            </w:r>
          </w:p>
        </w:tc>
        <w:tc>
          <w:tcPr>
            <w:tcW w:w="3980" w:type="dxa"/>
          </w:tcPr>
          <w:p w14:paraId="42F47377">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w:t>
            </w:r>
          </w:p>
        </w:tc>
      </w:tr>
      <w:tr w14:paraId="1CB57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6" w:type="dxa"/>
          </w:tcPr>
          <w:p w14:paraId="399EC580">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2</w:t>
            </w:r>
          </w:p>
        </w:tc>
        <w:tc>
          <w:tcPr>
            <w:tcW w:w="3785" w:type="dxa"/>
          </w:tcPr>
          <w:p w14:paraId="265B761C">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技术分</w:t>
            </w:r>
          </w:p>
        </w:tc>
        <w:tc>
          <w:tcPr>
            <w:tcW w:w="3980" w:type="dxa"/>
          </w:tcPr>
          <w:p w14:paraId="3C197FDF">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w:t>
            </w:r>
          </w:p>
        </w:tc>
      </w:tr>
      <w:tr w14:paraId="35A4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6" w:type="dxa"/>
          </w:tcPr>
          <w:p w14:paraId="4C9B41E9">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3</w:t>
            </w:r>
          </w:p>
        </w:tc>
        <w:tc>
          <w:tcPr>
            <w:tcW w:w="3785" w:type="dxa"/>
          </w:tcPr>
          <w:p w14:paraId="3AA39BF8">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技术支持分</w:t>
            </w:r>
          </w:p>
        </w:tc>
        <w:tc>
          <w:tcPr>
            <w:tcW w:w="3980" w:type="dxa"/>
          </w:tcPr>
          <w:p w14:paraId="1CD2AE28">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40</w:t>
            </w:r>
          </w:p>
        </w:tc>
      </w:tr>
      <w:tr w14:paraId="730B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6" w:type="dxa"/>
          </w:tcPr>
          <w:p w14:paraId="274FB236">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4</w:t>
            </w:r>
          </w:p>
        </w:tc>
        <w:tc>
          <w:tcPr>
            <w:tcW w:w="3785" w:type="dxa"/>
          </w:tcPr>
          <w:p w14:paraId="7A8F7DEC">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商务分</w:t>
            </w:r>
          </w:p>
        </w:tc>
        <w:tc>
          <w:tcPr>
            <w:tcW w:w="3980" w:type="dxa"/>
          </w:tcPr>
          <w:p w14:paraId="2AD9D6DC">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w:t>
            </w:r>
          </w:p>
        </w:tc>
      </w:tr>
      <w:tr w14:paraId="4900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76" w:type="dxa"/>
          </w:tcPr>
          <w:p w14:paraId="57B869DF">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5</w:t>
            </w:r>
          </w:p>
        </w:tc>
        <w:tc>
          <w:tcPr>
            <w:tcW w:w="3785" w:type="dxa"/>
          </w:tcPr>
          <w:p w14:paraId="31CBCD4A">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合计</w:t>
            </w:r>
          </w:p>
        </w:tc>
        <w:tc>
          <w:tcPr>
            <w:tcW w:w="3980" w:type="dxa"/>
          </w:tcPr>
          <w:p w14:paraId="2ACB7A24">
            <w:pPr>
              <w:pStyle w:val="13"/>
              <w:widowControl w:val="0"/>
              <w:adjustRightInd w:val="0"/>
              <w:snapToGrid w:val="0"/>
              <w:spacing w:line="320" w:lineRule="exact"/>
              <w:ind w:firstLine="0" w:firstLineChars="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100</w:t>
            </w:r>
          </w:p>
        </w:tc>
      </w:tr>
    </w:tbl>
    <w:p w14:paraId="1D087F68">
      <w:pPr>
        <w:numPr>
          <w:ilvl w:val="0"/>
          <w:numId w:val="3"/>
        </w:numPr>
        <w:adjustRightInd w:val="0"/>
        <w:snapToGrid w:val="0"/>
        <w:spacing w:line="560" w:lineRule="exact"/>
        <w:ind w:firstLine="560" w:firstLineChars="200"/>
        <w:outlineLvl w:val="1"/>
        <w:rPr>
          <w:rFonts w:ascii="Times New Roman" w:hAnsi="Times New Roman" w:eastAsia="楷体_GB2312"/>
          <w:color w:val="000000"/>
          <w:sz w:val="28"/>
          <w:szCs w:val="28"/>
        </w:rPr>
      </w:pPr>
      <w:r>
        <w:rPr>
          <w:rFonts w:ascii="Times New Roman" w:hAnsi="Times New Roman" w:eastAsia="楷体_GB2312"/>
          <w:color w:val="000000"/>
          <w:sz w:val="28"/>
          <w:szCs w:val="28"/>
        </w:rPr>
        <w:t>评分细则</w:t>
      </w:r>
    </w:p>
    <w:p w14:paraId="00066C2A">
      <w:pPr>
        <w:pStyle w:val="5"/>
        <w:rPr>
          <w:rFonts w:ascii="Times New Roman" w:hAnsi="Times New Roman"/>
        </w:rPr>
      </w:pPr>
    </w:p>
    <w:p w14:paraId="4F2F88FE">
      <w:pPr>
        <w:rPr>
          <w:rFonts w:ascii="Times New Roman" w:hAnsi="Times New Roman"/>
        </w:rPr>
      </w:pPr>
    </w:p>
    <w:p w14:paraId="1590E0F0">
      <w:pPr>
        <w:pStyle w:val="5"/>
        <w:rPr>
          <w:rFonts w:ascii="Times New Roman" w:hAnsi="Times New Roman"/>
        </w:rPr>
      </w:pPr>
    </w:p>
    <w:p w14:paraId="6CC0AA6A">
      <w:pPr>
        <w:rPr>
          <w:rFonts w:ascii="Times New Roman" w:hAnsi="Times New Roman"/>
        </w:rPr>
      </w:pPr>
    </w:p>
    <w:p w14:paraId="026CABB5">
      <w:pPr>
        <w:pStyle w:val="5"/>
        <w:rPr>
          <w:rFonts w:ascii="Times New Roman" w:hAnsi="Times New Roman"/>
        </w:rPr>
      </w:pPr>
    </w:p>
    <w:p w14:paraId="6500CC95">
      <w:pPr>
        <w:rPr>
          <w:rFonts w:ascii="Times New Roman" w:hAnsi="Times New Roman"/>
        </w:rPr>
      </w:pPr>
    </w:p>
    <w:p w14:paraId="06B24325">
      <w:pPr>
        <w:pStyle w:val="5"/>
        <w:rPr>
          <w:rFonts w:ascii="Times New Roman" w:hAnsi="Times New Roman"/>
        </w:rPr>
      </w:pPr>
    </w:p>
    <w:p w14:paraId="10E1F2B2">
      <w:pPr>
        <w:rPr>
          <w:rFonts w:ascii="Times New Roman" w:hAnsi="Times New Roman"/>
        </w:rPr>
      </w:pPr>
    </w:p>
    <w:p w14:paraId="6EAA96A6">
      <w:pPr>
        <w:pStyle w:val="5"/>
        <w:rPr>
          <w:rFonts w:ascii="Times New Roman" w:hAnsi="Times New Roman"/>
        </w:rPr>
      </w:pPr>
    </w:p>
    <w:p w14:paraId="24B91C9E">
      <w:pPr>
        <w:rPr>
          <w:rFonts w:ascii="Times New Roman" w:hAnsi="Times New Roman"/>
        </w:rPr>
      </w:pPr>
    </w:p>
    <w:p w14:paraId="34C77811">
      <w:pPr>
        <w:pStyle w:val="5"/>
        <w:rPr>
          <w:rFonts w:ascii="Times New Roman" w:hAnsi="Times New Roman"/>
        </w:rPr>
      </w:pPr>
    </w:p>
    <w:tbl>
      <w:tblPr>
        <w:tblStyle w:val="9"/>
        <w:tblW w:w="92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8"/>
        <w:gridCol w:w="1558"/>
        <w:gridCol w:w="7016"/>
      </w:tblGrid>
      <w:tr w14:paraId="3FC61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16400E5">
            <w:pPr>
              <w:adjustRightInd w:val="0"/>
              <w:snapToGrid w:val="0"/>
              <w:spacing w:line="320" w:lineRule="exact"/>
              <w:jc w:val="center"/>
              <w:rPr>
                <w:rFonts w:ascii="Times New Roman" w:hAnsi="Times New Roman"/>
                <w:szCs w:val="21"/>
              </w:rPr>
            </w:pPr>
            <w:r>
              <w:rPr>
                <w:rFonts w:ascii="Times New Roman" w:hAnsi="Times New Roman"/>
                <w:szCs w:val="21"/>
              </w:rPr>
              <w:t>序号</w:t>
            </w:r>
          </w:p>
        </w:tc>
        <w:tc>
          <w:tcPr>
            <w:tcW w:w="1558" w:type="dxa"/>
            <w:tcBorders>
              <w:top w:val="single" w:color="auto" w:sz="4" w:space="0"/>
              <w:left w:val="single" w:color="auto" w:sz="4" w:space="0"/>
              <w:bottom w:val="single" w:color="auto" w:sz="4" w:space="0"/>
              <w:right w:val="single" w:color="auto" w:sz="4" w:space="0"/>
            </w:tcBorders>
            <w:vAlign w:val="center"/>
          </w:tcPr>
          <w:p w14:paraId="4E74F134">
            <w:pPr>
              <w:adjustRightInd w:val="0"/>
              <w:snapToGrid w:val="0"/>
              <w:spacing w:line="320" w:lineRule="exact"/>
              <w:jc w:val="center"/>
              <w:rPr>
                <w:rFonts w:ascii="Times New Roman" w:hAnsi="Times New Roman"/>
                <w:szCs w:val="21"/>
              </w:rPr>
            </w:pPr>
            <w:r>
              <w:rPr>
                <w:rFonts w:ascii="Times New Roman" w:hAnsi="Times New Roman"/>
                <w:szCs w:val="21"/>
              </w:rPr>
              <w:t>评分内容</w:t>
            </w:r>
          </w:p>
        </w:tc>
        <w:tc>
          <w:tcPr>
            <w:tcW w:w="7016" w:type="dxa"/>
            <w:tcBorders>
              <w:top w:val="single" w:color="auto" w:sz="4" w:space="0"/>
              <w:left w:val="single" w:color="auto" w:sz="4" w:space="0"/>
              <w:bottom w:val="single" w:color="auto" w:sz="4" w:space="0"/>
              <w:right w:val="single" w:color="auto" w:sz="4" w:space="0"/>
            </w:tcBorders>
            <w:vAlign w:val="center"/>
          </w:tcPr>
          <w:p w14:paraId="5D2FDABF">
            <w:pPr>
              <w:adjustRightInd w:val="0"/>
              <w:snapToGrid w:val="0"/>
              <w:spacing w:line="320" w:lineRule="exact"/>
              <w:jc w:val="center"/>
              <w:rPr>
                <w:rFonts w:ascii="Times New Roman" w:hAnsi="Times New Roman"/>
                <w:szCs w:val="21"/>
              </w:rPr>
            </w:pPr>
            <w:r>
              <w:rPr>
                <w:rFonts w:ascii="Times New Roman" w:hAnsi="Times New Roman"/>
                <w:szCs w:val="21"/>
              </w:rPr>
              <w:t>评分标准</w:t>
            </w:r>
          </w:p>
        </w:tc>
      </w:tr>
      <w:tr w14:paraId="5D97A5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jc w:val="center"/>
        </w:trPr>
        <w:tc>
          <w:tcPr>
            <w:tcW w:w="9212" w:type="dxa"/>
            <w:gridSpan w:val="3"/>
            <w:tcBorders>
              <w:top w:val="single" w:color="auto" w:sz="4" w:space="0"/>
              <w:left w:val="single" w:color="auto" w:sz="4" w:space="0"/>
              <w:bottom w:val="single" w:color="auto" w:sz="4" w:space="0"/>
              <w:right w:val="single" w:color="auto" w:sz="4" w:space="0"/>
            </w:tcBorders>
            <w:vAlign w:val="center"/>
          </w:tcPr>
          <w:p w14:paraId="59A0A693">
            <w:pPr>
              <w:adjustRightInd w:val="0"/>
              <w:snapToGrid w:val="0"/>
              <w:spacing w:line="320" w:lineRule="exact"/>
              <w:jc w:val="center"/>
              <w:rPr>
                <w:rFonts w:ascii="Times New Roman" w:hAnsi="Times New Roman"/>
                <w:szCs w:val="21"/>
              </w:rPr>
            </w:pPr>
            <w:r>
              <w:rPr>
                <w:rFonts w:ascii="Times New Roman" w:hAnsi="Times New Roman" w:eastAsia="楷体_GB2312"/>
                <w:bCs/>
                <w:kern w:val="0"/>
                <w:szCs w:val="21"/>
                <w:lang w:val="zh-CN" w:bidi="zh-CN"/>
              </w:rPr>
              <w:t>（</w:t>
            </w:r>
            <w:r>
              <w:rPr>
                <w:rFonts w:ascii="Times New Roman" w:hAnsi="Times New Roman" w:eastAsia="楷体_GB2312"/>
                <w:bCs/>
                <w:kern w:val="0"/>
                <w:szCs w:val="21"/>
                <w:lang w:bidi="zh-CN"/>
              </w:rPr>
              <w:t>一</w:t>
            </w:r>
            <w:r>
              <w:rPr>
                <w:rFonts w:ascii="Times New Roman" w:hAnsi="Times New Roman" w:eastAsia="楷体_GB2312"/>
                <w:bCs/>
                <w:kern w:val="0"/>
                <w:szCs w:val="21"/>
                <w:lang w:val="zh-CN" w:bidi="zh-CN"/>
              </w:rPr>
              <w:t>）价格部分</w:t>
            </w:r>
            <w:r>
              <w:rPr>
                <w:rFonts w:ascii="Times New Roman" w:hAnsi="Times New Roman" w:eastAsia="楷体_GB2312"/>
              </w:rPr>
              <w:t>（满分</w:t>
            </w:r>
            <w:r>
              <w:rPr>
                <w:rFonts w:hint="eastAsia" w:ascii="Times New Roman" w:hAnsi="Times New Roman" w:eastAsia="楷体_GB2312"/>
              </w:rPr>
              <w:t>20</w:t>
            </w:r>
            <w:r>
              <w:rPr>
                <w:rFonts w:ascii="Times New Roman" w:hAnsi="Times New Roman" w:eastAsia="楷体_GB2312"/>
              </w:rPr>
              <w:t>分）</w:t>
            </w:r>
          </w:p>
        </w:tc>
      </w:tr>
      <w:tr w14:paraId="01944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6736AB50">
            <w:pPr>
              <w:adjustRightInd w:val="0"/>
              <w:snapToGrid w:val="0"/>
              <w:spacing w:line="320" w:lineRule="exact"/>
              <w:jc w:val="center"/>
              <w:rPr>
                <w:rFonts w:ascii="Times New Roman" w:hAnsi="Times New Roman"/>
                <w:szCs w:val="21"/>
              </w:rPr>
            </w:pPr>
            <w:r>
              <w:rPr>
                <w:rFonts w:ascii="Times New Roman" w:hAnsi="Times New Roman"/>
                <w:szCs w:val="21"/>
              </w:rPr>
              <w:t>1</w:t>
            </w:r>
          </w:p>
        </w:tc>
        <w:tc>
          <w:tcPr>
            <w:tcW w:w="1558" w:type="dxa"/>
            <w:tcBorders>
              <w:top w:val="single" w:color="auto" w:sz="4" w:space="0"/>
              <w:left w:val="single" w:color="auto" w:sz="4" w:space="0"/>
              <w:bottom w:val="single" w:color="auto" w:sz="4" w:space="0"/>
              <w:right w:val="single" w:color="auto" w:sz="4" w:space="0"/>
            </w:tcBorders>
            <w:vAlign w:val="center"/>
          </w:tcPr>
          <w:p w14:paraId="34F1C301">
            <w:pPr>
              <w:adjustRightInd w:val="0"/>
              <w:snapToGrid w:val="0"/>
              <w:spacing w:line="320" w:lineRule="exact"/>
              <w:jc w:val="center"/>
              <w:rPr>
                <w:rFonts w:ascii="Times New Roman" w:hAnsi="Times New Roman"/>
                <w:bCs/>
                <w:szCs w:val="21"/>
              </w:rPr>
            </w:pPr>
            <w:r>
              <w:rPr>
                <w:rFonts w:ascii="Times New Roman" w:hAnsi="Times New Roman"/>
                <w:bCs/>
                <w:kern w:val="0"/>
                <w:szCs w:val="21"/>
                <w:lang w:val="zh-CN" w:bidi="zh-CN"/>
              </w:rPr>
              <w:t>价格分</w:t>
            </w:r>
            <w:r>
              <w:rPr>
                <w:rFonts w:ascii="Times New Roman" w:hAnsi="Times New Roman"/>
                <w:bCs/>
                <w:kern w:val="0"/>
                <w:szCs w:val="21"/>
                <w:lang w:bidi="zh-CN"/>
              </w:rPr>
              <w:t xml:space="preserve">     </w:t>
            </w:r>
            <w:r>
              <w:rPr>
                <w:rFonts w:ascii="Times New Roman" w:hAnsi="Times New Roman"/>
                <w:bCs/>
                <w:kern w:val="0"/>
                <w:szCs w:val="21"/>
                <w:lang w:val="zh-CN" w:bidi="zh-CN"/>
              </w:rPr>
              <w:t>（满分</w:t>
            </w:r>
            <w:r>
              <w:rPr>
                <w:rFonts w:hint="eastAsia" w:ascii="Times New Roman" w:hAnsi="Times New Roman"/>
                <w:bCs/>
                <w:kern w:val="0"/>
                <w:szCs w:val="21"/>
                <w:lang w:bidi="zh-CN"/>
              </w:rPr>
              <w:t>20</w:t>
            </w:r>
            <w:r>
              <w:rPr>
                <w:rFonts w:ascii="Times New Roman" w:hAnsi="Times New Roman"/>
                <w:bCs/>
                <w:kern w:val="0"/>
                <w:szCs w:val="21"/>
                <w:lang w:val="zh-CN" w:bidi="zh-CN"/>
              </w:rPr>
              <w:t>分）</w:t>
            </w:r>
          </w:p>
        </w:tc>
        <w:tc>
          <w:tcPr>
            <w:tcW w:w="7016" w:type="dxa"/>
            <w:tcBorders>
              <w:top w:val="single" w:color="auto" w:sz="4" w:space="0"/>
              <w:left w:val="single" w:color="auto" w:sz="4" w:space="0"/>
              <w:bottom w:val="single" w:color="auto" w:sz="4" w:space="0"/>
              <w:right w:val="single" w:color="auto" w:sz="4" w:space="0"/>
            </w:tcBorders>
            <w:vAlign w:val="center"/>
          </w:tcPr>
          <w:p w14:paraId="38636CB1">
            <w:pPr>
              <w:widowControl w:val="0"/>
              <w:adjustRightInd w:val="0"/>
              <w:snapToGrid w:val="0"/>
              <w:spacing w:line="320" w:lineRule="exact"/>
              <w:ind w:firstLine="420" w:firstLineChars="200"/>
              <w:jc w:val="left"/>
              <w:rPr>
                <w:rFonts w:hint="eastAsia" w:ascii="Times New Roman" w:hAnsi="Times New Roman"/>
                <w:color w:val="000000"/>
                <w:szCs w:val="21"/>
              </w:rPr>
            </w:pPr>
            <w:r>
              <w:rPr>
                <w:rFonts w:ascii="Times New Roman" w:hAnsi="Times New Roman"/>
                <w:color w:val="000000"/>
                <w:szCs w:val="21"/>
              </w:rPr>
              <w:t>投标报价得分=（全部供应商中的最低报价/某供应商投标报价）×</w:t>
            </w:r>
            <w:r>
              <w:rPr>
                <w:rFonts w:hint="eastAsia" w:ascii="Times New Roman" w:hAnsi="Times New Roman"/>
                <w:color w:val="000000"/>
                <w:szCs w:val="21"/>
              </w:rPr>
              <w:t>20</w:t>
            </w:r>
          </w:p>
          <w:p w14:paraId="7A5728B8">
            <w:pPr>
              <w:widowControl w:val="0"/>
              <w:adjustRightInd w:val="0"/>
              <w:snapToGrid w:val="0"/>
              <w:spacing w:line="320" w:lineRule="exact"/>
              <w:ind w:firstLine="420" w:firstLineChars="200"/>
              <w:jc w:val="left"/>
              <w:rPr>
                <w:rFonts w:ascii="Times New Roman" w:hAnsi="Times New Roman"/>
                <w:bCs/>
                <w:szCs w:val="21"/>
              </w:rPr>
            </w:pPr>
            <w:r>
              <w:rPr>
                <w:rFonts w:ascii="Times New Roman" w:hAnsi="Times New Roman"/>
                <w:bCs/>
                <w:szCs w:val="21"/>
              </w:rPr>
              <w:t>（1）根据《政府采购促进中小企业发展管理办法》（财库﹝2020﹞46 号）第九条要求，对小型和微型企业报价给予6%的扣除，用扣除后的投标报价参与评审</w:t>
            </w:r>
            <w:r>
              <w:rPr>
                <w:rFonts w:hint="eastAsia" w:ascii="Times New Roman" w:hAnsi="Times New Roman"/>
                <w:bCs/>
                <w:szCs w:val="21"/>
              </w:rPr>
              <w:t>（需提供证明文件）</w:t>
            </w:r>
            <w:r>
              <w:rPr>
                <w:rFonts w:ascii="Times New Roman" w:hAnsi="Times New Roman"/>
                <w:bCs/>
                <w:szCs w:val="21"/>
              </w:rPr>
              <w:t>。</w:t>
            </w:r>
          </w:p>
          <w:p w14:paraId="2EDBE456">
            <w:pPr>
              <w:widowControl w:val="0"/>
              <w:adjustRightInd w:val="0"/>
              <w:snapToGrid w:val="0"/>
              <w:spacing w:line="320" w:lineRule="exact"/>
              <w:ind w:firstLine="420" w:firstLineChars="200"/>
              <w:jc w:val="left"/>
              <w:rPr>
                <w:rFonts w:ascii="Times New Roman" w:hAnsi="Times New Roman"/>
                <w:bCs/>
                <w:szCs w:val="21"/>
              </w:rPr>
            </w:pPr>
            <w:r>
              <w:rPr>
                <w:rFonts w:ascii="Times New Roman" w:hAnsi="Times New Roman"/>
                <w:bCs/>
                <w:szCs w:val="21"/>
              </w:rPr>
              <w:t>（2）根据《关于政府采购支持监狱企业发展有关问题的通知》（财库﹝2014﹞68号）的要求，监狱和戒毒企业（以下简称监狱企业）视同小型、微型企业。须提供由省级以上监狱管理局、戒毒管理局（含新疆生产建设兵团）出具的属于监狱企业的证明文件。</w:t>
            </w:r>
          </w:p>
          <w:p w14:paraId="5BF28D40">
            <w:pPr>
              <w:pStyle w:val="6"/>
              <w:adjustRightInd w:val="0"/>
              <w:snapToGrid w:val="0"/>
              <w:spacing w:line="320" w:lineRule="exact"/>
              <w:ind w:firstLine="420" w:firstLineChars="200"/>
              <w:rPr>
                <w:rFonts w:ascii="Times New Roman" w:hAnsi="Times New Roman"/>
                <w:color w:val="000000"/>
                <w:szCs w:val="21"/>
              </w:rPr>
            </w:pPr>
            <w:r>
              <w:rPr>
                <w:rFonts w:ascii="Times New Roman" w:hAnsi="Times New Roman"/>
                <w:bCs/>
                <w:szCs w:val="21"/>
              </w:rPr>
              <w:t>（3）根据《三部门联合发布关于促进残疾人就业政府采购政策的通知》（财库</w:t>
            </w:r>
            <w:r>
              <w:rPr>
                <w:rFonts w:hint="eastAsia" w:ascii="Times New Roman" w:hAnsi="Times New Roman"/>
                <w:bCs/>
                <w:szCs w:val="21"/>
              </w:rPr>
              <w:t>）</w:t>
            </w:r>
            <w:r>
              <w:rPr>
                <w:rFonts w:ascii="Times New Roman" w:hAnsi="Times New Roman"/>
                <w:bCs/>
                <w:szCs w:val="21"/>
              </w:rPr>
              <w:t>﹝2017﹞141号），残疾人福利性单位视同小型、微型企业，须提供《残疾人福利性单位声明函》，未提供声明函者不予认定。</w:t>
            </w:r>
          </w:p>
        </w:tc>
      </w:tr>
      <w:tr w14:paraId="2EA18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212" w:type="dxa"/>
            <w:gridSpan w:val="3"/>
            <w:tcBorders>
              <w:top w:val="single" w:color="auto" w:sz="4" w:space="0"/>
              <w:left w:val="single" w:color="auto" w:sz="4" w:space="0"/>
              <w:bottom w:val="single" w:color="auto" w:sz="4" w:space="0"/>
              <w:right w:val="single" w:color="auto" w:sz="4" w:space="0"/>
            </w:tcBorders>
            <w:vAlign w:val="center"/>
          </w:tcPr>
          <w:p w14:paraId="3FD9F118">
            <w:pPr>
              <w:adjustRightInd w:val="0"/>
              <w:snapToGrid w:val="0"/>
              <w:spacing w:line="320" w:lineRule="exact"/>
              <w:jc w:val="center"/>
              <w:rPr>
                <w:rFonts w:ascii="Times New Roman" w:hAnsi="Times New Roman"/>
              </w:rPr>
            </w:pPr>
            <w:r>
              <w:rPr>
                <w:rFonts w:ascii="Times New Roman" w:hAnsi="Times New Roman" w:eastAsia="楷体_GB2312"/>
              </w:rPr>
              <w:t>（二）技术部分（满分</w:t>
            </w:r>
            <w:r>
              <w:rPr>
                <w:rFonts w:hint="eastAsia" w:ascii="Times New Roman" w:hAnsi="Times New Roman" w:eastAsia="楷体_GB2312"/>
              </w:rPr>
              <w:t>20</w:t>
            </w:r>
            <w:r>
              <w:rPr>
                <w:rFonts w:ascii="Times New Roman" w:hAnsi="Times New Roman" w:eastAsia="楷体_GB2312"/>
              </w:rPr>
              <w:t>分）</w:t>
            </w:r>
          </w:p>
        </w:tc>
      </w:tr>
      <w:tr w14:paraId="41A25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63D9D832">
            <w:pPr>
              <w:adjustRightInd w:val="0"/>
              <w:snapToGrid w:val="0"/>
              <w:spacing w:line="320" w:lineRule="exact"/>
              <w:jc w:val="center"/>
              <w:rPr>
                <w:rFonts w:ascii="Times New Roman" w:hAnsi="Times New Roman"/>
                <w:szCs w:val="21"/>
              </w:rPr>
            </w:pPr>
            <w:r>
              <w:rPr>
                <w:rFonts w:ascii="Times New Roman" w:hAnsi="Times New Roman"/>
                <w:szCs w:val="21"/>
              </w:rPr>
              <w:t>1</w:t>
            </w:r>
          </w:p>
        </w:tc>
        <w:tc>
          <w:tcPr>
            <w:tcW w:w="1558" w:type="dxa"/>
            <w:tcBorders>
              <w:top w:val="single" w:color="auto" w:sz="4" w:space="0"/>
              <w:left w:val="single" w:color="auto" w:sz="4" w:space="0"/>
              <w:bottom w:val="single" w:color="auto" w:sz="4" w:space="0"/>
              <w:right w:val="single" w:color="auto" w:sz="4" w:space="0"/>
            </w:tcBorders>
            <w:vAlign w:val="center"/>
          </w:tcPr>
          <w:p w14:paraId="7F415FB8">
            <w:pPr>
              <w:adjustRightInd w:val="0"/>
              <w:snapToGrid w:val="0"/>
              <w:spacing w:line="320" w:lineRule="exact"/>
              <w:ind w:left="210" w:hanging="210" w:hangingChars="100"/>
              <w:jc w:val="center"/>
              <w:rPr>
                <w:rFonts w:ascii="Times New Roman" w:hAnsi="Times New Roman"/>
                <w:szCs w:val="21"/>
              </w:rPr>
            </w:pPr>
            <w:r>
              <w:rPr>
                <w:rFonts w:ascii="Times New Roman" w:hAnsi="Times New Roman"/>
                <w:szCs w:val="21"/>
              </w:rPr>
              <w:t>服务方案</w:t>
            </w:r>
          </w:p>
          <w:p w14:paraId="515D8350">
            <w:pPr>
              <w:adjustRightInd w:val="0"/>
              <w:snapToGrid w:val="0"/>
              <w:spacing w:line="320" w:lineRule="exact"/>
              <w:ind w:left="210" w:hanging="210" w:hangingChars="100"/>
              <w:jc w:val="center"/>
              <w:rPr>
                <w:rFonts w:ascii="Times New Roman" w:hAnsi="Times New Roman"/>
                <w:szCs w:val="21"/>
              </w:rPr>
            </w:pPr>
            <w:r>
              <w:rPr>
                <w:rFonts w:ascii="Times New Roman" w:hAnsi="Times New Roman"/>
                <w:szCs w:val="21"/>
              </w:rPr>
              <w:t>（满分</w:t>
            </w:r>
            <w:r>
              <w:rPr>
                <w:rFonts w:hint="eastAsia" w:ascii="Times New Roman" w:hAnsi="Times New Roman"/>
                <w:szCs w:val="21"/>
              </w:rPr>
              <w:t>20</w:t>
            </w:r>
            <w:r>
              <w:rPr>
                <w:rFonts w:ascii="Times New Roman" w:hAnsi="Times New Roman"/>
                <w:szCs w:val="21"/>
              </w:rPr>
              <w:t>分）</w:t>
            </w:r>
          </w:p>
        </w:tc>
        <w:tc>
          <w:tcPr>
            <w:tcW w:w="7016" w:type="dxa"/>
            <w:tcBorders>
              <w:top w:val="single" w:color="auto" w:sz="4" w:space="0"/>
              <w:left w:val="single" w:color="auto" w:sz="4" w:space="0"/>
              <w:bottom w:val="single" w:color="auto" w:sz="4" w:space="0"/>
              <w:right w:val="single" w:color="auto" w:sz="4" w:space="0"/>
            </w:tcBorders>
            <w:vAlign w:val="center"/>
          </w:tcPr>
          <w:p w14:paraId="611C9002">
            <w:pPr>
              <w:adjustRightInd w:val="0"/>
              <w:snapToGrid w:val="0"/>
              <w:spacing w:line="320" w:lineRule="exact"/>
              <w:ind w:firstLine="420" w:firstLineChars="200"/>
              <w:rPr>
                <w:rFonts w:ascii="Times New Roman" w:hAnsi="Times New Roman"/>
                <w:szCs w:val="21"/>
              </w:rPr>
            </w:pPr>
            <w:r>
              <w:rPr>
                <w:rFonts w:hint="eastAsia" w:ascii="Times New Roman" w:hAnsi="Times New Roman"/>
                <w:szCs w:val="21"/>
              </w:rPr>
              <w:t>根据供应商针对本项目拟定的服务方案进行综合评审，方案内容包含但不限于：合理作业流程、作业规范、检测流程、检测方法、仪器校准现场培训指导、校验内容、售后服务内容、本地化服务方案、后期支撑方案以及快速响应时间内赶到现场的应急处置措施等。</w:t>
            </w:r>
            <w:r>
              <w:rPr>
                <w:rFonts w:ascii="Times New Roman" w:hAnsi="Times New Roman"/>
                <w:szCs w:val="21"/>
              </w:rPr>
              <w:t>根据</w:t>
            </w:r>
            <w:r>
              <w:rPr>
                <w:rFonts w:hint="eastAsia" w:ascii="Times New Roman" w:hAnsi="Times New Roman"/>
                <w:szCs w:val="21"/>
              </w:rPr>
              <w:t>技术服务机构</w:t>
            </w:r>
            <w:r>
              <w:rPr>
                <w:rFonts w:ascii="Times New Roman" w:hAnsi="Times New Roman"/>
                <w:szCs w:val="21"/>
              </w:rPr>
              <w:t>提供的本项目方案是否具有针对性、完整性、合理性、可行性进行综合评分。</w:t>
            </w:r>
          </w:p>
          <w:p w14:paraId="364F1D15">
            <w:pPr>
              <w:adjustRightInd w:val="0"/>
              <w:snapToGrid w:val="0"/>
              <w:spacing w:line="320" w:lineRule="exact"/>
              <w:ind w:firstLine="420" w:firstLineChars="200"/>
              <w:rPr>
                <w:rFonts w:ascii="Times New Roman" w:hAnsi="Times New Roman"/>
                <w:szCs w:val="21"/>
              </w:rPr>
            </w:pPr>
            <w:r>
              <w:rPr>
                <w:rFonts w:ascii="Times New Roman" w:hAnsi="Times New Roman"/>
                <w:szCs w:val="21"/>
              </w:rPr>
              <w:t>1.一档</w:t>
            </w:r>
            <w:r>
              <w:rPr>
                <w:rFonts w:hint="eastAsia" w:ascii="Times New Roman" w:hAnsi="Times New Roman"/>
                <w:szCs w:val="21"/>
              </w:rPr>
              <w:t>（20</w:t>
            </w:r>
            <w:r>
              <w:rPr>
                <w:rFonts w:ascii="Times New Roman" w:hAnsi="Times New Roman"/>
                <w:szCs w:val="21"/>
              </w:rPr>
              <w:t>分）：方案符合本项目</w:t>
            </w:r>
            <w:r>
              <w:rPr>
                <w:rFonts w:hint="eastAsia" w:ascii="Times New Roman" w:hAnsi="Times New Roman"/>
                <w:szCs w:val="21"/>
              </w:rPr>
              <w:t>技术服务</w:t>
            </w:r>
            <w:r>
              <w:rPr>
                <w:rFonts w:ascii="Times New Roman" w:hAnsi="Times New Roman"/>
                <w:szCs w:val="21"/>
              </w:rPr>
              <w:t>内容，</w:t>
            </w:r>
            <w:r>
              <w:rPr>
                <w:rFonts w:hint="eastAsia" w:ascii="Times New Roman" w:hAnsi="Times New Roman"/>
                <w:szCs w:val="21"/>
              </w:rPr>
              <w:t>内容规范明确且完整，可行性强</w:t>
            </w:r>
            <w:r>
              <w:rPr>
                <w:rFonts w:ascii="Times New Roman" w:hAnsi="Times New Roman"/>
                <w:szCs w:val="21"/>
              </w:rPr>
              <w:t>，得</w:t>
            </w:r>
            <w:r>
              <w:rPr>
                <w:rFonts w:hint="eastAsia" w:ascii="Times New Roman" w:hAnsi="Times New Roman"/>
                <w:szCs w:val="21"/>
              </w:rPr>
              <w:t>20</w:t>
            </w:r>
            <w:r>
              <w:rPr>
                <w:rFonts w:ascii="Times New Roman" w:hAnsi="Times New Roman"/>
                <w:szCs w:val="21"/>
              </w:rPr>
              <w:t>分；</w:t>
            </w:r>
          </w:p>
          <w:p w14:paraId="2A06D845">
            <w:pPr>
              <w:adjustRightInd w:val="0"/>
              <w:snapToGrid w:val="0"/>
              <w:spacing w:line="320" w:lineRule="exact"/>
              <w:ind w:firstLine="420" w:firstLineChars="200"/>
              <w:rPr>
                <w:rFonts w:ascii="Times New Roman" w:hAnsi="Times New Roman"/>
                <w:szCs w:val="21"/>
              </w:rPr>
            </w:pPr>
            <w:r>
              <w:rPr>
                <w:rFonts w:ascii="Times New Roman" w:hAnsi="Times New Roman"/>
                <w:szCs w:val="21"/>
              </w:rPr>
              <w:t>2.二档（</w:t>
            </w:r>
            <w:r>
              <w:rPr>
                <w:rFonts w:hint="eastAsia" w:ascii="Times New Roman" w:hAnsi="Times New Roman"/>
                <w:szCs w:val="21"/>
              </w:rPr>
              <w:t>15</w:t>
            </w:r>
            <w:r>
              <w:rPr>
                <w:rFonts w:ascii="Times New Roman" w:hAnsi="Times New Roman"/>
                <w:szCs w:val="21"/>
              </w:rPr>
              <w:t>分）：方案基本符合本项目</w:t>
            </w:r>
            <w:r>
              <w:rPr>
                <w:rFonts w:hint="eastAsia" w:ascii="Times New Roman" w:hAnsi="Times New Roman"/>
                <w:szCs w:val="21"/>
              </w:rPr>
              <w:t>技术服务</w:t>
            </w:r>
            <w:r>
              <w:rPr>
                <w:rFonts w:ascii="Times New Roman" w:hAnsi="Times New Roman"/>
                <w:szCs w:val="21"/>
              </w:rPr>
              <w:t>内容，方案基本完善，可行性较强，得</w:t>
            </w:r>
            <w:r>
              <w:rPr>
                <w:rFonts w:hint="eastAsia" w:ascii="Times New Roman" w:hAnsi="Times New Roman"/>
                <w:szCs w:val="21"/>
              </w:rPr>
              <w:t>15</w:t>
            </w:r>
            <w:r>
              <w:rPr>
                <w:rFonts w:ascii="Times New Roman" w:hAnsi="Times New Roman"/>
                <w:szCs w:val="21"/>
              </w:rPr>
              <w:t>分；</w:t>
            </w:r>
          </w:p>
          <w:p w14:paraId="68EF1771">
            <w:pPr>
              <w:adjustRightInd w:val="0"/>
              <w:snapToGrid w:val="0"/>
              <w:spacing w:line="320" w:lineRule="exact"/>
              <w:ind w:firstLine="420" w:firstLineChars="200"/>
              <w:rPr>
                <w:rFonts w:ascii="Times New Roman" w:hAnsi="Times New Roman"/>
                <w:szCs w:val="21"/>
              </w:rPr>
            </w:pPr>
            <w:r>
              <w:rPr>
                <w:rFonts w:ascii="Times New Roman" w:hAnsi="Times New Roman"/>
                <w:szCs w:val="21"/>
              </w:rPr>
              <w:t>3.三档（</w:t>
            </w:r>
            <w:r>
              <w:rPr>
                <w:rFonts w:hint="eastAsia" w:ascii="Times New Roman" w:hAnsi="Times New Roman"/>
                <w:szCs w:val="21"/>
              </w:rPr>
              <w:t>10</w:t>
            </w:r>
            <w:r>
              <w:rPr>
                <w:rFonts w:ascii="Times New Roman" w:hAnsi="Times New Roman"/>
                <w:szCs w:val="21"/>
              </w:rPr>
              <w:t>分）：方案基本符合本项目</w:t>
            </w:r>
            <w:r>
              <w:rPr>
                <w:rFonts w:hint="eastAsia" w:ascii="Times New Roman" w:hAnsi="Times New Roman"/>
                <w:szCs w:val="21"/>
              </w:rPr>
              <w:t>技术服务</w:t>
            </w:r>
            <w:r>
              <w:rPr>
                <w:rFonts w:ascii="Times New Roman" w:hAnsi="Times New Roman"/>
                <w:szCs w:val="21"/>
              </w:rPr>
              <w:t>内容，方案不够完善、可行性一般，得</w:t>
            </w:r>
            <w:r>
              <w:rPr>
                <w:rFonts w:hint="eastAsia" w:ascii="Times New Roman" w:hAnsi="Times New Roman"/>
                <w:szCs w:val="21"/>
              </w:rPr>
              <w:t>10</w:t>
            </w:r>
            <w:r>
              <w:rPr>
                <w:rFonts w:ascii="Times New Roman" w:hAnsi="Times New Roman"/>
                <w:szCs w:val="21"/>
              </w:rPr>
              <w:t xml:space="preserve"> 分；</w:t>
            </w:r>
          </w:p>
          <w:p w14:paraId="08BF5EDE">
            <w:pPr>
              <w:pStyle w:val="5"/>
              <w:adjustRightInd w:val="0"/>
              <w:snapToGrid w:val="0"/>
              <w:spacing w:line="320" w:lineRule="exact"/>
              <w:ind w:firstLine="420" w:firstLineChars="200"/>
              <w:rPr>
                <w:rFonts w:ascii="Times New Roman" w:hAnsi="Times New Roman"/>
              </w:rPr>
            </w:pPr>
            <w:r>
              <w:rPr>
                <w:rFonts w:ascii="Times New Roman" w:hAnsi="Times New Roman"/>
                <w:szCs w:val="21"/>
              </w:rPr>
              <w:t>4.四档（</w:t>
            </w:r>
            <w:r>
              <w:rPr>
                <w:rFonts w:hint="eastAsia" w:ascii="Times New Roman" w:hAnsi="Times New Roman"/>
                <w:szCs w:val="21"/>
              </w:rPr>
              <w:t>5</w:t>
            </w:r>
            <w:r>
              <w:rPr>
                <w:rFonts w:ascii="Times New Roman" w:hAnsi="Times New Roman"/>
                <w:szCs w:val="21"/>
              </w:rPr>
              <w:t>分）：方案不符合本项目</w:t>
            </w:r>
            <w:r>
              <w:rPr>
                <w:rFonts w:hint="eastAsia" w:ascii="Times New Roman" w:hAnsi="Times New Roman"/>
                <w:szCs w:val="21"/>
              </w:rPr>
              <w:t>技术服务</w:t>
            </w:r>
            <w:r>
              <w:rPr>
                <w:rFonts w:ascii="Times New Roman" w:hAnsi="Times New Roman"/>
                <w:szCs w:val="21"/>
              </w:rPr>
              <w:t>内容，</w:t>
            </w:r>
            <w:r>
              <w:rPr>
                <w:rFonts w:hint="eastAsia" w:ascii="Times New Roman" w:hAnsi="Times New Roman"/>
                <w:szCs w:val="21"/>
              </w:rPr>
              <w:t>无实质性内容</w:t>
            </w:r>
            <w:r>
              <w:rPr>
                <w:rFonts w:ascii="Times New Roman" w:hAnsi="Times New Roman"/>
                <w:szCs w:val="21"/>
              </w:rPr>
              <w:t>得</w:t>
            </w:r>
            <w:r>
              <w:rPr>
                <w:rFonts w:hint="eastAsia" w:ascii="Times New Roman" w:hAnsi="Times New Roman"/>
                <w:szCs w:val="21"/>
              </w:rPr>
              <w:t>5</w:t>
            </w:r>
            <w:r>
              <w:rPr>
                <w:rFonts w:ascii="Times New Roman" w:hAnsi="Times New Roman"/>
                <w:szCs w:val="21"/>
              </w:rPr>
              <w:t>分。</w:t>
            </w:r>
          </w:p>
        </w:tc>
      </w:tr>
      <w:tr w14:paraId="606C5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212" w:type="dxa"/>
            <w:gridSpan w:val="3"/>
            <w:tcBorders>
              <w:top w:val="single" w:color="auto" w:sz="4" w:space="0"/>
              <w:left w:val="single" w:color="auto" w:sz="4" w:space="0"/>
              <w:bottom w:val="single" w:color="auto" w:sz="4" w:space="0"/>
              <w:right w:val="single" w:color="auto" w:sz="4" w:space="0"/>
            </w:tcBorders>
            <w:vAlign w:val="center"/>
          </w:tcPr>
          <w:p w14:paraId="7D9A1C87">
            <w:pPr>
              <w:adjustRightInd w:val="0"/>
              <w:snapToGrid w:val="0"/>
              <w:spacing w:line="320" w:lineRule="exact"/>
              <w:ind w:firstLine="420" w:firstLineChars="200"/>
              <w:jc w:val="center"/>
              <w:rPr>
                <w:rFonts w:ascii="Times New Roman" w:hAnsi="Times New Roman"/>
                <w:szCs w:val="21"/>
              </w:rPr>
            </w:pPr>
            <w:r>
              <w:rPr>
                <w:rFonts w:ascii="Times New Roman" w:hAnsi="Times New Roman" w:eastAsia="楷体_GB2312"/>
              </w:rPr>
              <w:t>（三）技术支持部分（满分</w:t>
            </w:r>
            <w:r>
              <w:rPr>
                <w:rFonts w:hint="eastAsia" w:ascii="Times New Roman" w:hAnsi="Times New Roman" w:eastAsia="楷体_GB2312"/>
              </w:rPr>
              <w:t>40</w:t>
            </w:r>
            <w:r>
              <w:rPr>
                <w:rFonts w:ascii="Times New Roman" w:hAnsi="Times New Roman" w:eastAsia="楷体_GB2312"/>
              </w:rPr>
              <w:t>分）</w:t>
            </w:r>
          </w:p>
        </w:tc>
      </w:tr>
      <w:tr w14:paraId="7DB8B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3EE61F8">
            <w:pPr>
              <w:adjustRightInd w:val="0"/>
              <w:snapToGrid w:val="0"/>
              <w:spacing w:line="320" w:lineRule="exact"/>
              <w:jc w:val="center"/>
              <w:rPr>
                <w:rFonts w:ascii="Times New Roman" w:hAnsi="Times New Roman"/>
                <w:szCs w:val="21"/>
              </w:rPr>
            </w:pPr>
            <w:r>
              <w:rPr>
                <w:rFonts w:hint="eastAsia" w:ascii="Times New Roman" w:hAnsi="Times New Roman"/>
                <w:szCs w:val="21"/>
              </w:rPr>
              <w:t>1</w:t>
            </w:r>
          </w:p>
        </w:tc>
        <w:tc>
          <w:tcPr>
            <w:tcW w:w="1558" w:type="dxa"/>
            <w:tcBorders>
              <w:top w:val="single" w:color="auto" w:sz="4" w:space="0"/>
              <w:left w:val="single" w:color="auto" w:sz="4" w:space="0"/>
              <w:bottom w:val="single" w:color="auto" w:sz="4" w:space="0"/>
              <w:right w:val="single" w:color="auto" w:sz="4" w:space="0"/>
            </w:tcBorders>
            <w:vAlign w:val="center"/>
          </w:tcPr>
          <w:p w14:paraId="2ECD6ABA">
            <w:pPr>
              <w:adjustRightInd w:val="0"/>
              <w:snapToGrid w:val="0"/>
              <w:spacing w:line="320" w:lineRule="exact"/>
              <w:ind w:left="210" w:hanging="210" w:hangingChars="100"/>
              <w:jc w:val="center"/>
              <w:rPr>
                <w:rFonts w:ascii="Times New Roman" w:hAnsi="Times New Roman"/>
                <w:szCs w:val="21"/>
              </w:rPr>
            </w:pPr>
            <w:r>
              <w:rPr>
                <w:rFonts w:hint="eastAsia" w:ascii="Times New Roman" w:hAnsi="Times New Roman"/>
                <w:szCs w:val="21"/>
              </w:rPr>
              <w:t>实验室能力</w:t>
            </w:r>
            <w:r>
              <w:rPr>
                <w:rFonts w:ascii="Times New Roman" w:hAnsi="Times New Roman"/>
                <w:szCs w:val="21"/>
              </w:rPr>
              <w:t>（满分</w:t>
            </w:r>
            <w:r>
              <w:rPr>
                <w:rFonts w:hint="eastAsia" w:ascii="Times New Roman" w:hAnsi="Times New Roman"/>
                <w:szCs w:val="21"/>
              </w:rPr>
              <w:t>20</w:t>
            </w:r>
            <w:r>
              <w:rPr>
                <w:rFonts w:ascii="Times New Roman" w:hAnsi="Times New Roman"/>
                <w:szCs w:val="21"/>
              </w:rPr>
              <w:t>分）</w:t>
            </w:r>
          </w:p>
        </w:tc>
        <w:tc>
          <w:tcPr>
            <w:tcW w:w="7016" w:type="dxa"/>
            <w:tcBorders>
              <w:top w:val="single" w:color="auto" w:sz="4" w:space="0"/>
              <w:left w:val="single" w:color="auto" w:sz="4" w:space="0"/>
              <w:bottom w:val="single" w:color="auto" w:sz="4" w:space="0"/>
              <w:right w:val="single" w:color="auto" w:sz="4" w:space="0"/>
            </w:tcBorders>
            <w:vAlign w:val="center"/>
          </w:tcPr>
          <w:p w14:paraId="568F2B3F">
            <w:pPr>
              <w:pStyle w:val="5"/>
              <w:adjustRightInd w:val="0"/>
              <w:snapToGrid w:val="0"/>
              <w:spacing w:line="320" w:lineRule="exact"/>
              <w:ind w:firstLine="420" w:firstLineChars="200"/>
              <w:rPr>
                <w:rFonts w:ascii="Times New Roman" w:hAnsi="Times New Roman"/>
                <w:szCs w:val="21"/>
              </w:rPr>
            </w:pPr>
            <w:r>
              <w:rPr>
                <w:rFonts w:hint="eastAsia" w:ascii="Times New Roman" w:hAnsi="Times New Roman"/>
                <w:szCs w:val="21"/>
              </w:rPr>
              <w:t>①供应商具备省（市）级市场监督管理局的颁发计量授权证书或中国合格评定国家认可委员会实验室（CNAS）认可证书和省级实验室资质认定（CMA）证书。具有市级以上市场监督管理局颁发计量授权证书的得7分；</w:t>
            </w:r>
          </w:p>
          <w:p w14:paraId="58FF7E42">
            <w:pPr>
              <w:pStyle w:val="5"/>
              <w:adjustRightInd w:val="0"/>
              <w:snapToGrid w:val="0"/>
              <w:spacing w:line="320" w:lineRule="exact"/>
              <w:ind w:firstLine="420" w:firstLineChars="200"/>
              <w:rPr>
                <w:rFonts w:ascii="Times New Roman" w:hAnsi="Times New Roman"/>
                <w:szCs w:val="21"/>
              </w:rPr>
            </w:pPr>
            <w:r>
              <w:rPr>
                <w:rFonts w:hint="eastAsia" w:ascii="Times New Roman" w:hAnsi="Times New Roman"/>
                <w:szCs w:val="21"/>
              </w:rPr>
              <w:t>②供应商具备检定校准能力覆盖本项目超过90%的，得7分。检定校准能力覆盖本项目80%-90%（不含90%）之间的，得5分。检定校准能力覆盖本项目低于80%（不含80%）的，不得分；（同种设备不重复统计）</w:t>
            </w:r>
          </w:p>
          <w:p w14:paraId="6AE44FAE">
            <w:pPr>
              <w:pStyle w:val="5"/>
              <w:adjustRightInd w:val="0"/>
              <w:snapToGrid w:val="0"/>
              <w:spacing w:line="320" w:lineRule="exact"/>
              <w:ind w:firstLine="420" w:firstLineChars="200"/>
              <w:rPr>
                <w:rFonts w:ascii="Times New Roman" w:hAnsi="Times New Roman"/>
                <w:szCs w:val="21"/>
              </w:rPr>
            </w:pPr>
            <w:r>
              <w:rPr>
                <w:rFonts w:hint="eastAsia" w:ascii="Times New Roman" w:hAnsi="Times New Roman"/>
                <w:szCs w:val="21"/>
              </w:rPr>
              <w:t>③供应商具备提供检定校准服务技术能力400项至500项(含）得6分，具备提供检定校准服务技术能力300项至400项(含）得4分，具备提供检定校准服务技术能力100项至300项(含）得2分。</w:t>
            </w:r>
          </w:p>
          <w:p w14:paraId="16924369">
            <w:pPr>
              <w:pStyle w:val="5"/>
              <w:adjustRightInd w:val="0"/>
              <w:snapToGrid w:val="0"/>
              <w:spacing w:line="320" w:lineRule="exact"/>
              <w:ind w:firstLine="420" w:firstLineChars="200"/>
              <w:rPr>
                <w:rFonts w:ascii="Times New Roman" w:hAnsi="Times New Roman"/>
                <w:szCs w:val="21"/>
              </w:rPr>
            </w:pPr>
            <w:r>
              <w:rPr>
                <w:rFonts w:hint="eastAsia" w:ascii="Times New Roman" w:hAnsi="Times New Roman"/>
                <w:szCs w:val="21"/>
              </w:rPr>
              <w:t>注：提供相关证明材料。</w:t>
            </w:r>
          </w:p>
        </w:tc>
      </w:tr>
      <w:tr w14:paraId="4A93C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4"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7592798C">
            <w:pPr>
              <w:adjustRightInd w:val="0"/>
              <w:snapToGrid w:val="0"/>
              <w:spacing w:line="320" w:lineRule="exact"/>
              <w:jc w:val="center"/>
              <w:rPr>
                <w:rFonts w:ascii="Times New Roman" w:hAnsi="Times New Roman"/>
                <w:szCs w:val="21"/>
              </w:rPr>
            </w:pPr>
            <w:r>
              <w:rPr>
                <w:rFonts w:hint="eastAsia" w:ascii="Times New Roman" w:hAnsi="Times New Roman"/>
                <w:szCs w:val="21"/>
              </w:rPr>
              <w:t>2</w:t>
            </w:r>
          </w:p>
        </w:tc>
        <w:tc>
          <w:tcPr>
            <w:tcW w:w="1558" w:type="dxa"/>
            <w:tcBorders>
              <w:top w:val="single" w:color="auto" w:sz="4" w:space="0"/>
              <w:left w:val="single" w:color="auto" w:sz="4" w:space="0"/>
              <w:bottom w:val="single" w:color="auto" w:sz="4" w:space="0"/>
              <w:right w:val="single" w:color="auto" w:sz="4" w:space="0"/>
            </w:tcBorders>
            <w:vAlign w:val="center"/>
          </w:tcPr>
          <w:p w14:paraId="42801060">
            <w:pPr>
              <w:adjustRightInd w:val="0"/>
              <w:snapToGrid w:val="0"/>
              <w:spacing w:line="320" w:lineRule="exact"/>
              <w:jc w:val="center"/>
              <w:rPr>
                <w:rFonts w:ascii="Times New Roman" w:hAnsi="Times New Roman"/>
                <w:szCs w:val="21"/>
              </w:rPr>
            </w:pPr>
            <w:r>
              <w:rPr>
                <w:rFonts w:ascii="Times New Roman" w:hAnsi="Times New Roman"/>
                <w:szCs w:val="21"/>
              </w:rPr>
              <w:t>人员设置   （满分</w:t>
            </w:r>
            <w:r>
              <w:rPr>
                <w:rFonts w:hint="eastAsia" w:ascii="Times New Roman" w:hAnsi="Times New Roman"/>
                <w:szCs w:val="21"/>
              </w:rPr>
              <w:t>20</w:t>
            </w:r>
            <w:r>
              <w:rPr>
                <w:rFonts w:ascii="Times New Roman" w:hAnsi="Times New Roman"/>
                <w:szCs w:val="21"/>
              </w:rPr>
              <w:t>分）</w:t>
            </w:r>
          </w:p>
        </w:tc>
        <w:tc>
          <w:tcPr>
            <w:tcW w:w="7016" w:type="dxa"/>
            <w:tcBorders>
              <w:top w:val="single" w:color="auto" w:sz="4" w:space="0"/>
              <w:left w:val="single" w:color="auto" w:sz="4" w:space="0"/>
              <w:bottom w:val="single" w:color="auto" w:sz="4" w:space="0"/>
              <w:right w:val="single" w:color="auto" w:sz="4" w:space="0"/>
            </w:tcBorders>
            <w:vAlign w:val="center"/>
          </w:tcPr>
          <w:p w14:paraId="6F748C72">
            <w:pPr>
              <w:adjustRightInd w:val="0"/>
              <w:snapToGrid w:val="0"/>
              <w:spacing w:line="320" w:lineRule="exact"/>
              <w:ind w:firstLine="420" w:firstLineChars="200"/>
              <w:rPr>
                <w:rFonts w:ascii="Times New Roman" w:hAnsi="Times New Roman"/>
                <w:szCs w:val="21"/>
              </w:rPr>
            </w:pPr>
            <w:r>
              <w:rPr>
                <w:rFonts w:hint="eastAsia" w:ascii="Times New Roman" w:hAnsi="Times New Roman"/>
                <w:szCs w:val="21"/>
              </w:rPr>
              <w:t>1.供应商本项目负责人具有计量方面专业（工程系列）高级及以上职称得5分，中级职称的得3分，同时具有一级注册计量师证书的加5分。此项最高得10分。</w:t>
            </w:r>
          </w:p>
          <w:p w14:paraId="2AAFE916">
            <w:pPr>
              <w:adjustRightInd w:val="0"/>
              <w:snapToGrid w:val="0"/>
              <w:spacing w:line="320" w:lineRule="exact"/>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szCs w:val="21"/>
              </w:rPr>
              <w:t>2、拟派项目技术团队的技术人员（不含项目负责人）有计量方面专业（工程系列）高级及以上职称，每提供一人得8分，有计量方面专业（工程系列）中级职称，每提供一人得6分，同时具有生态环境监测领域部门进行计量检测服务经历的加2分。此项最高得10分。</w:t>
            </w:r>
            <w:r>
              <w:rPr>
                <w:rFonts w:ascii="Times New Roman" w:hAnsi="Times New Roman"/>
                <w:color w:val="000000" w:themeColor="text1"/>
                <w14:textFill>
                  <w14:solidFill>
                    <w14:schemeClr w14:val="tx1"/>
                  </w14:solidFill>
                </w14:textFill>
              </w:rPr>
              <w:t xml:space="preserve">            </w:t>
            </w:r>
            <w:r>
              <w:rPr>
                <w:rFonts w:ascii="Times New Roman" w:hAnsi="Times New Roman"/>
                <w:szCs w:val="21"/>
              </w:rPr>
              <w:t xml:space="preserve">  </w:t>
            </w:r>
          </w:p>
          <w:p w14:paraId="31F95DB2">
            <w:pPr>
              <w:adjustRightInd w:val="0"/>
              <w:snapToGrid w:val="0"/>
              <w:spacing w:line="320" w:lineRule="exact"/>
              <w:ind w:firstLine="420" w:firstLineChars="200"/>
              <w:rPr>
                <w:rFonts w:ascii="Times New Roman" w:hAnsi="Times New Roman"/>
                <w:szCs w:val="21"/>
              </w:rPr>
            </w:pPr>
            <w:r>
              <w:rPr>
                <w:rFonts w:ascii="Times New Roman" w:hAnsi="Times New Roman"/>
                <w:szCs w:val="21"/>
              </w:rPr>
              <w:t>注：</w:t>
            </w:r>
            <w:r>
              <w:rPr>
                <w:rFonts w:hint="eastAsia" w:ascii="Times New Roman" w:hAnsi="Times New Roman"/>
                <w:szCs w:val="21"/>
              </w:rPr>
              <w:t>技术服务机构</w:t>
            </w:r>
            <w:r>
              <w:rPr>
                <w:rFonts w:ascii="Times New Roman" w:hAnsi="Times New Roman"/>
                <w:szCs w:val="21"/>
              </w:rPr>
              <w:t>提供本项目</w:t>
            </w:r>
            <w:r>
              <w:rPr>
                <w:rFonts w:hint="eastAsia" w:ascii="Times New Roman" w:hAnsi="Times New Roman"/>
                <w:szCs w:val="21"/>
              </w:rPr>
              <w:t>服务</w:t>
            </w:r>
            <w:r>
              <w:rPr>
                <w:rFonts w:ascii="Times New Roman" w:hAnsi="Times New Roman"/>
                <w:szCs w:val="21"/>
              </w:rPr>
              <w:t>人员名单、</w:t>
            </w:r>
            <w:r>
              <w:rPr>
                <w:rFonts w:hint="eastAsia" w:ascii="Times New Roman" w:hAnsi="Times New Roman"/>
                <w:szCs w:val="21"/>
              </w:rPr>
              <w:t>证书、</w:t>
            </w:r>
            <w:r>
              <w:rPr>
                <w:rFonts w:ascii="Times New Roman" w:hAnsi="Times New Roman"/>
                <w:color w:val="000000" w:themeColor="text1"/>
                <w14:textFill>
                  <w14:solidFill>
                    <w14:schemeClr w14:val="tx1"/>
                  </w14:solidFill>
                </w14:textFill>
              </w:rPr>
              <w:t>近</w:t>
            </w:r>
            <w:r>
              <w:rPr>
                <w:rFonts w:hint="eastAsia" w:ascii="Times New Roman" w:hAnsi="Times New Roman"/>
                <w:color w:val="000000" w:themeColor="text1"/>
                <w14:textFill>
                  <w14:solidFill>
                    <w14:schemeClr w14:val="tx1"/>
                  </w14:solidFill>
                </w14:textFill>
              </w:rPr>
              <w:t>半年</w:t>
            </w:r>
            <w:r>
              <w:rPr>
                <w:rFonts w:ascii="Times New Roman" w:hAnsi="Times New Roman"/>
                <w:color w:val="000000" w:themeColor="text1"/>
                <w14:textFill>
                  <w14:solidFill>
                    <w14:schemeClr w14:val="tx1"/>
                  </w14:solidFill>
                </w14:textFill>
              </w:rPr>
              <w:t>社保缴纳</w:t>
            </w:r>
            <w:r>
              <w:rPr>
                <w:rFonts w:hint="eastAsia" w:ascii="Times New Roman" w:hAnsi="Times New Roman"/>
                <w:color w:val="000000" w:themeColor="text1"/>
                <w14:textFill>
                  <w14:solidFill>
                    <w14:schemeClr w14:val="tx1"/>
                  </w14:solidFill>
                </w14:textFill>
              </w:rPr>
              <w:t>、业绩</w:t>
            </w:r>
            <w:r>
              <w:rPr>
                <w:rFonts w:ascii="Times New Roman" w:hAnsi="Times New Roman"/>
                <w:color w:val="000000" w:themeColor="text1"/>
                <w14:textFill>
                  <w14:solidFill>
                    <w14:schemeClr w14:val="tx1"/>
                  </w14:solidFill>
                </w14:textFill>
              </w:rPr>
              <w:t>证明材料的复印件，</w:t>
            </w:r>
            <w:r>
              <w:rPr>
                <w:rFonts w:ascii="Times New Roman" w:hAnsi="Times New Roman"/>
                <w:color w:val="000000" w:themeColor="text1"/>
                <w:szCs w:val="21"/>
                <w14:textFill>
                  <w14:solidFill>
                    <w14:schemeClr w14:val="tx1"/>
                  </w14:solidFill>
                </w14:textFill>
              </w:rPr>
              <w:t>并在复印件上加盖公章。</w:t>
            </w:r>
            <w:r>
              <w:rPr>
                <w:rFonts w:ascii="Times New Roman" w:hAnsi="Times New Roman"/>
                <w:szCs w:val="21"/>
              </w:rPr>
              <w:t>没有证明材料不得分。</w:t>
            </w:r>
          </w:p>
        </w:tc>
      </w:tr>
      <w:tr w14:paraId="7D955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212" w:type="dxa"/>
            <w:gridSpan w:val="3"/>
            <w:tcBorders>
              <w:top w:val="single" w:color="auto" w:sz="4" w:space="0"/>
              <w:left w:val="single" w:color="auto" w:sz="4" w:space="0"/>
              <w:bottom w:val="single" w:color="auto" w:sz="4" w:space="0"/>
              <w:right w:val="single" w:color="auto" w:sz="4" w:space="0"/>
            </w:tcBorders>
            <w:vAlign w:val="center"/>
          </w:tcPr>
          <w:p w14:paraId="2CAF435C">
            <w:pPr>
              <w:adjustRightInd w:val="0"/>
              <w:snapToGrid w:val="0"/>
              <w:spacing w:line="320" w:lineRule="exact"/>
              <w:ind w:firstLine="420" w:firstLineChars="200"/>
              <w:jc w:val="center"/>
              <w:rPr>
                <w:rFonts w:ascii="Times New Roman" w:hAnsi="Times New Roman"/>
                <w:szCs w:val="21"/>
              </w:rPr>
            </w:pPr>
            <w:r>
              <w:rPr>
                <w:rFonts w:ascii="Times New Roman" w:hAnsi="Times New Roman" w:eastAsia="楷体_GB2312"/>
                <w:szCs w:val="21"/>
              </w:rPr>
              <w:t>（四）商务部分</w:t>
            </w:r>
            <w:r>
              <w:rPr>
                <w:rFonts w:ascii="Times New Roman" w:hAnsi="Times New Roman" w:eastAsia="楷体_GB2312"/>
              </w:rPr>
              <w:t>（满分</w:t>
            </w:r>
            <w:r>
              <w:rPr>
                <w:rFonts w:hint="eastAsia" w:ascii="Times New Roman" w:hAnsi="Times New Roman" w:eastAsia="楷体_GB2312"/>
              </w:rPr>
              <w:t>20</w:t>
            </w:r>
            <w:r>
              <w:rPr>
                <w:rFonts w:ascii="Times New Roman" w:hAnsi="Times New Roman" w:eastAsia="楷体_GB2312"/>
              </w:rPr>
              <w:t>分）</w:t>
            </w:r>
          </w:p>
        </w:tc>
      </w:tr>
      <w:tr w14:paraId="031AC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119C15F0">
            <w:pPr>
              <w:adjustRightInd w:val="0"/>
              <w:snapToGrid w:val="0"/>
              <w:spacing w:line="320" w:lineRule="exact"/>
              <w:jc w:val="center"/>
              <w:rPr>
                <w:rFonts w:ascii="Times New Roman" w:hAnsi="Times New Roman"/>
                <w:szCs w:val="21"/>
              </w:rPr>
            </w:pPr>
            <w:r>
              <w:rPr>
                <w:rFonts w:ascii="Times New Roman" w:hAnsi="Times New Roman"/>
                <w:szCs w:val="21"/>
              </w:rPr>
              <w:t>1</w:t>
            </w:r>
          </w:p>
        </w:tc>
        <w:tc>
          <w:tcPr>
            <w:tcW w:w="1558" w:type="dxa"/>
            <w:tcBorders>
              <w:top w:val="single" w:color="auto" w:sz="4" w:space="0"/>
              <w:left w:val="single" w:color="auto" w:sz="4" w:space="0"/>
              <w:bottom w:val="single" w:color="auto" w:sz="4" w:space="0"/>
              <w:right w:val="single" w:color="auto" w:sz="4" w:space="0"/>
            </w:tcBorders>
            <w:vAlign w:val="center"/>
          </w:tcPr>
          <w:p w14:paraId="7EDA24BD">
            <w:pPr>
              <w:tabs>
                <w:tab w:val="center" w:pos="4153"/>
                <w:tab w:val="right" w:pos="8306"/>
              </w:tabs>
              <w:adjustRightInd w:val="0"/>
              <w:snapToGrid w:val="0"/>
              <w:spacing w:line="320" w:lineRule="exact"/>
              <w:jc w:val="cente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企业信誉</w:t>
            </w:r>
          </w:p>
          <w:p w14:paraId="3D2867D7">
            <w:pPr>
              <w:tabs>
                <w:tab w:val="center" w:pos="4153"/>
                <w:tab w:val="right" w:pos="8306"/>
              </w:tabs>
              <w:adjustRightInd w:val="0"/>
              <w:snapToGrid w:val="0"/>
              <w:spacing w:line="320" w:lineRule="exact"/>
              <w:jc w:val="center"/>
              <w:rPr>
                <w:rFonts w:ascii="Times New Roman" w:hAnsi="Times New Roman"/>
                <w:szCs w:val="21"/>
              </w:rPr>
            </w:pPr>
            <w:r>
              <w:rPr>
                <w:rFonts w:ascii="Times New Roman" w:hAnsi="Times New Roman"/>
                <w:bCs/>
                <w:color w:val="000000" w:themeColor="text1"/>
                <w14:textFill>
                  <w14:solidFill>
                    <w14:schemeClr w14:val="tx1"/>
                  </w14:solidFill>
                </w14:textFill>
              </w:rPr>
              <w:t>（满分</w:t>
            </w:r>
            <w:r>
              <w:rPr>
                <w:rFonts w:hint="eastAsia" w:ascii="Times New Roman" w:hAnsi="Times New Roman"/>
                <w:bCs/>
                <w:color w:val="000000" w:themeColor="text1"/>
                <w14:textFill>
                  <w14:solidFill>
                    <w14:schemeClr w14:val="tx1"/>
                  </w14:solidFill>
                </w14:textFill>
              </w:rPr>
              <w:t>10</w:t>
            </w:r>
            <w:r>
              <w:rPr>
                <w:rFonts w:ascii="Times New Roman" w:hAnsi="Times New Roman"/>
                <w:bCs/>
                <w:color w:val="000000" w:themeColor="text1"/>
                <w14:textFill>
                  <w14:solidFill>
                    <w14:schemeClr w14:val="tx1"/>
                  </w14:solidFill>
                </w14:textFill>
              </w:rPr>
              <w:t>分）</w:t>
            </w:r>
          </w:p>
        </w:tc>
        <w:tc>
          <w:tcPr>
            <w:tcW w:w="7016" w:type="dxa"/>
            <w:tcBorders>
              <w:top w:val="single" w:color="auto" w:sz="4" w:space="0"/>
              <w:left w:val="single" w:color="auto" w:sz="4" w:space="0"/>
              <w:bottom w:val="single" w:color="auto" w:sz="4" w:space="0"/>
              <w:right w:val="single" w:color="auto" w:sz="4" w:space="0"/>
            </w:tcBorders>
          </w:tcPr>
          <w:p w14:paraId="14550255">
            <w:pPr>
              <w:adjustRightInd w:val="0"/>
              <w:snapToGrid w:val="0"/>
              <w:spacing w:line="320" w:lineRule="exact"/>
              <w:ind w:firstLine="420" w:firstLineChars="200"/>
              <w:rPr>
                <w:rFonts w:ascii="Times New Roman" w:hAnsi="Times New Roman"/>
                <w:szCs w:val="21"/>
              </w:rPr>
            </w:pPr>
            <w:r>
              <w:rPr>
                <w:rFonts w:hint="eastAsia" w:ascii="Times New Roman" w:hAnsi="Times New Roman"/>
              </w:rPr>
              <w:t>技术服务单位</w:t>
            </w:r>
            <w:r>
              <w:rPr>
                <w:rFonts w:ascii="Times New Roman" w:hAnsi="Times New Roman"/>
              </w:rPr>
              <w:t>在以往</w:t>
            </w:r>
            <w:r>
              <w:rPr>
                <w:rFonts w:hint="eastAsia" w:ascii="Times New Roman" w:hAnsi="Times New Roman"/>
              </w:rPr>
              <w:t>计量检测</w:t>
            </w:r>
            <w:r>
              <w:rPr>
                <w:rFonts w:ascii="Times New Roman" w:hAnsi="Times New Roman"/>
              </w:rPr>
              <w:t>服务中未受到</w:t>
            </w:r>
            <w:r>
              <w:rPr>
                <w:rFonts w:hint="eastAsia" w:ascii="Times New Roman" w:hAnsi="Times New Roman"/>
              </w:rPr>
              <w:t>相关</w:t>
            </w:r>
            <w:r>
              <w:rPr>
                <w:rFonts w:ascii="Times New Roman" w:hAnsi="Times New Roman"/>
              </w:rPr>
              <w:t>部门行政处罚、通报、记不良记录、记过、或存在弄虚作假等不良行为记录的，加盖供应商公章（</w:t>
            </w:r>
            <w:r>
              <w:rPr>
                <w:rFonts w:hint="eastAsia" w:ascii="Times New Roman" w:hAnsi="Times New Roman"/>
              </w:rPr>
              <w:t>技术服务单位应</w:t>
            </w:r>
            <w:r>
              <w:rPr>
                <w:rFonts w:ascii="Times New Roman" w:hAnsi="Times New Roman"/>
              </w:rPr>
              <w:t>承诺必须真实有效，若经查实存在虚假承诺的情形，则采购人有权取消其成交资格，并上报监督管理部门处理，且保留追究法律责任的权利），得</w:t>
            </w:r>
            <w:r>
              <w:rPr>
                <w:rFonts w:hint="eastAsia" w:ascii="Times New Roman" w:hAnsi="Times New Roman"/>
              </w:rPr>
              <w:t>10</w:t>
            </w:r>
            <w:r>
              <w:rPr>
                <w:rFonts w:ascii="Times New Roman" w:hAnsi="Times New Roman"/>
              </w:rPr>
              <w:t>分，未提供相应承诺函或有不良记录的，不得分。</w:t>
            </w:r>
          </w:p>
        </w:tc>
      </w:tr>
      <w:tr w14:paraId="6A515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638" w:type="dxa"/>
            <w:tcBorders>
              <w:top w:val="single" w:color="auto" w:sz="4" w:space="0"/>
              <w:left w:val="single" w:color="auto" w:sz="4" w:space="0"/>
              <w:bottom w:val="single" w:color="auto" w:sz="4" w:space="0"/>
              <w:right w:val="single" w:color="auto" w:sz="4" w:space="0"/>
            </w:tcBorders>
            <w:vAlign w:val="center"/>
          </w:tcPr>
          <w:p w14:paraId="21C110E3">
            <w:pPr>
              <w:adjustRightInd w:val="0"/>
              <w:snapToGrid w:val="0"/>
              <w:spacing w:line="320" w:lineRule="exact"/>
              <w:jc w:val="center"/>
              <w:rPr>
                <w:rFonts w:ascii="Times New Roman" w:hAnsi="Times New Roman"/>
                <w:szCs w:val="21"/>
              </w:rPr>
            </w:pPr>
            <w:r>
              <w:rPr>
                <w:rFonts w:ascii="Times New Roman" w:hAnsi="Times New Roman"/>
                <w:szCs w:val="21"/>
              </w:rPr>
              <w:t>2</w:t>
            </w:r>
          </w:p>
        </w:tc>
        <w:tc>
          <w:tcPr>
            <w:tcW w:w="1558" w:type="dxa"/>
            <w:tcBorders>
              <w:top w:val="single" w:color="auto" w:sz="4" w:space="0"/>
              <w:left w:val="single" w:color="auto" w:sz="4" w:space="0"/>
              <w:bottom w:val="single" w:color="auto" w:sz="4" w:space="0"/>
              <w:right w:val="single" w:color="auto" w:sz="4" w:space="0"/>
            </w:tcBorders>
            <w:vAlign w:val="center"/>
          </w:tcPr>
          <w:p w14:paraId="1BD7F8FC">
            <w:pPr>
              <w:adjustRightInd w:val="0"/>
              <w:snapToGrid w:val="0"/>
              <w:spacing w:line="320" w:lineRule="exact"/>
              <w:jc w:val="center"/>
              <w:rPr>
                <w:rFonts w:ascii="Times New Roman" w:hAnsi="Times New Roman"/>
                <w:szCs w:val="21"/>
              </w:rPr>
            </w:pPr>
            <w:r>
              <w:rPr>
                <w:rFonts w:ascii="Times New Roman" w:hAnsi="Times New Roman"/>
                <w:szCs w:val="21"/>
              </w:rPr>
              <w:t>项目业绩</w:t>
            </w:r>
          </w:p>
          <w:p w14:paraId="3C215FD0">
            <w:pPr>
              <w:adjustRightInd w:val="0"/>
              <w:snapToGrid w:val="0"/>
              <w:spacing w:line="320" w:lineRule="exact"/>
              <w:jc w:val="center"/>
              <w:rPr>
                <w:rFonts w:ascii="Times New Roman" w:hAnsi="Times New Roman"/>
                <w:szCs w:val="21"/>
              </w:rPr>
            </w:pPr>
            <w:r>
              <w:rPr>
                <w:rFonts w:ascii="Times New Roman" w:hAnsi="Times New Roman"/>
                <w:szCs w:val="21"/>
              </w:rPr>
              <w:t>（满分</w:t>
            </w:r>
            <w:r>
              <w:rPr>
                <w:rFonts w:hint="eastAsia" w:ascii="Times New Roman" w:hAnsi="Times New Roman"/>
                <w:szCs w:val="21"/>
              </w:rPr>
              <w:t>10</w:t>
            </w:r>
            <w:r>
              <w:rPr>
                <w:rFonts w:ascii="Times New Roman" w:hAnsi="Times New Roman"/>
                <w:szCs w:val="21"/>
              </w:rPr>
              <w:t>分）</w:t>
            </w:r>
          </w:p>
        </w:tc>
        <w:tc>
          <w:tcPr>
            <w:tcW w:w="7016" w:type="dxa"/>
            <w:tcBorders>
              <w:top w:val="single" w:color="auto" w:sz="4" w:space="0"/>
              <w:left w:val="single" w:color="auto" w:sz="4" w:space="0"/>
              <w:bottom w:val="single" w:color="auto" w:sz="4" w:space="0"/>
              <w:right w:val="single" w:color="auto" w:sz="4" w:space="0"/>
            </w:tcBorders>
          </w:tcPr>
          <w:p w14:paraId="7BB4680B">
            <w:pPr>
              <w:pStyle w:val="7"/>
              <w:spacing w:line="340" w:lineRule="exact"/>
              <w:ind w:firstLine="420"/>
              <w:jc w:val="left"/>
              <w:rPr>
                <w:rFonts w:ascii="Times New Roman" w:hAnsi="Times New Roman"/>
                <w:sz w:val="21"/>
              </w:rPr>
            </w:pPr>
            <w:r>
              <w:rPr>
                <w:rFonts w:hint="eastAsia" w:ascii="Times New Roman" w:hAnsi="Times New Roman"/>
                <w:sz w:val="21"/>
              </w:rPr>
              <w:t>1、供应商近三年内在省（市）级及以上生态环境或计量行政主管部门组织的各类技术比对或比武等活动中提供过仪器设备维护、保养、和检定校准服务，以及获得过奖励的，每提供一项得2分，最高得5分。</w:t>
            </w:r>
          </w:p>
          <w:p w14:paraId="2DA5E675">
            <w:pPr>
              <w:adjustRightInd w:val="0"/>
              <w:snapToGrid w:val="0"/>
              <w:spacing w:line="320" w:lineRule="exact"/>
              <w:ind w:firstLine="420" w:firstLineChars="200"/>
              <w:rPr>
                <w:rFonts w:ascii="Times New Roman" w:hAnsi="Times New Roman"/>
              </w:rPr>
            </w:pPr>
            <w:r>
              <w:rPr>
                <w:rFonts w:hint="eastAsia" w:ascii="Times New Roman" w:hAnsi="Times New Roman"/>
              </w:rPr>
              <w:t>2、供应商自2024年01月以来，具有类似项目业绩的，每提供一个得2分，满分5分。</w:t>
            </w:r>
          </w:p>
          <w:p w14:paraId="3B88691C">
            <w:pPr>
              <w:adjustRightInd w:val="0"/>
              <w:snapToGrid w:val="0"/>
              <w:spacing w:line="320" w:lineRule="exact"/>
              <w:ind w:firstLine="420" w:firstLineChars="200"/>
            </w:pPr>
            <w:r>
              <w:rPr>
                <w:rFonts w:hint="eastAsia" w:ascii="Times New Roman" w:hAnsi="Times New Roman"/>
              </w:rPr>
              <w:t>注：提供中标（成交）通知书或合同复印件等并加盖供应商鲜章。</w:t>
            </w:r>
          </w:p>
        </w:tc>
      </w:tr>
    </w:tbl>
    <w:p w14:paraId="0B2114EB">
      <w:pPr>
        <w:adjustRightInd w:val="0"/>
        <w:snapToGrid w:val="0"/>
        <w:spacing w:line="32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总分值=（一）+（二）+（三）+（四）</w:t>
      </w:r>
    </w:p>
    <w:p w14:paraId="7411D7BC">
      <w:pPr>
        <w:adjustRightInd w:val="0"/>
        <w:snapToGrid w:val="0"/>
        <w:spacing w:line="560" w:lineRule="exact"/>
        <w:ind w:firstLine="646" w:firstLineChars="202"/>
        <w:outlineLvl w:val="0"/>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三、成交候选人推荐原则</w:t>
      </w:r>
    </w:p>
    <w:p w14:paraId="404D5B33">
      <w:pPr>
        <w:adjustRightInd w:val="0"/>
        <w:snapToGrid w:val="0"/>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供应商提交的材料进行综合评分，按照得分由高到低顺序得出成交候选人名单，评审得分相同的，按照技术指标优劣排序。成交原则为排序顺位第一的供应商。如成交供应商因不可抗力提出不能履行合同，顺位选择第二排名的供应商，以此类推。</w:t>
      </w:r>
    </w:p>
    <w:sectPr>
      <w:pgSz w:w="11906" w:h="16838"/>
      <w:pgMar w:top="1701"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0A3825-606F-4B7C-AC03-79FC3684C01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swiss"/>
    <w:pitch w:val="default"/>
    <w:sig w:usb0="80000287" w:usb1="280F3C52" w:usb2="00000016" w:usb3="00000000" w:csb0="0004001F" w:csb1="00000000"/>
    <w:embedRegular r:id="rId2" w:fontKey="{F072DBF3-A018-4056-B6A8-E49DD6CE0F12}"/>
  </w:font>
  <w:font w:name="方正仿宋_GB2312">
    <w:altName w:val="仿宋"/>
    <w:panose1 w:val="00000000000000000000"/>
    <w:charset w:val="86"/>
    <w:family w:val="auto"/>
    <w:pitch w:val="default"/>
    <w:sig w:usb0="00000000" w:usb1="00000000" w:usb2="00000012" w:usb3="00000000" w:csb0="00040001" w:csb1="00000000"/>
    <w:embedRegular r:id="rId3" w:fontKey="{5B27490A-FE81-4935-A7C2-ACB34DA30EBD}"/>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embedRegular r:id="rId4" w:fontKey="{561DADEF-44B2-4523-8E16-DC11D68544F2}"/>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2AAB5"/>
    <w:multiLevelType w:val="multilevel"/>
    <w:tmpl w:val="9352AAB5"/>
    <w:lvl w:ilvl="0" w:tentative="0">
      <w:start w:val="1"/>
      <w:numFmt w:val="chineseCounting"/>
      <w:suff w:val="nothing"/>
      <w:lvlText w:val="%1、"/>
      <w:lvlJc w:val="left"/>
      <w:pPr>
        <w:tabs>
          <w:tab w:val="left" w:pos="0"/>
        </w:tabs>
        <w:ind w:left="432" w:hanging="432"/>
      </w:pPr>
      <w:rPr>
        <w:rFonts w:hint="eastAsia" w:ascii="宋体" w:hAnsi="宋体" w:eastAsia="宋体" w:cs="宋体"/>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2"/>
      <w:isLgl/>
      <w:lvlText w:val="%1.%2.%3.%4."/>
      <w:lvlJc w:val="left"/>
      <w:pPr>
        <w:ind w:left="-1007" w:hanging="864"/>
      </w:pPr>
      <w:rPr>
        <w:rFonts w:hint="eastAsia" w:ascii="Times New Roman" w:hAnsi="Times New Roman" w:cs="Times New Roman"/>
      </w:rPr>
    </w:lvl>
    <w:lvl w:ilvl="4" w:tentative="0">
      <w:start w:val="1"/>
      <w:numFmt w:val="decimal"/>
      <w:isLgl/>
      <w:lvlText w:val="%1.%2.%3.%4.%5."/>
      <w:lvlJc w:val="left"/>
      <w:pPr>
        <w:ind w:left="-864" w:hanging="1008"/>
      </w:pPr>
      <w:rPr>
        <w:rFonts w:hint="eastAsia" w:ascii="Times New Roman" w:hAnsi="Times New Roman" w:eastAsia="宋体" w:cs="Times New Roman"/>
      </w:rPr>
    </w:lvl>
    <w:lvl w:ilvl="5" w:tentative="0">
      <w:start w:val="1"/>
      <w:numFmt w:val="decimal"/>
      <w:isLgl/>
      <w:lvlText w:val="%1.%2.%3.%4.%5.%6."/>
      <w:lvlJc w:val="left"/>
      <w:pPr>
        <w:ind w:left="3309" w:hanging="1151"/>
      </w:pPr>
      <w:rPr>
        <w:rFonts w:hint="eastAsia"/>
      </w:rPr>
    </w:lvl>
    <w:lvl w:ilvl="6" w:tentative="0">
      <w:start w:val="1"/>
      <w:numFmt w:val="decimal"/>
      <w:isLgl/>
      <w:lvlText w:val="%1.%2.%3.%4.%5.%6.%7."/>
      <w:lvlJc w:val="left"/>
      <w:pPr>
        <w:ind w:left="345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D33FF615"/>
    <w:multiLevelType w:val="singleLevel"/>
    <w:tmpl w:val="D33FF615"/>
    <w:lvl w:ilvl="0" w:tentative="0">
      <w:start w:val="1"/>
      <w:numFmt w:val="decimal"/>
      <w:pStyle w:val="3"/>
      <w:lvlText w:val="%1."/>
      <w:lvlJc w:val="left"/>
      <w:pPr>
        <w:tabs>
          <w:tab w:val="left" w:pos="360"/>
        </w:tabs>
        <w:ind w:left="360" w:hanging="360"/>
      </w:pPr>
    </w:lvl>
  </w:abstractNum>
  <w:abstractNum w:abstractNumId="2">
    <w:nsid w:val="6FF64015"/>
    <w:multiLevelType w:val="singleLevel"/>
    <w:tmpl w:val="6FF64015"/>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NDI1MWM5NGI5YjZlODc2MGFjOWYzZDQ2ZTkyZjUifQ=="/>
  </w:docVars>
  <w:rsids>
    <w:rsidRoot w:val="0785655A"/>
    <w:rsid w:val="000949F8"/>
    <w:rsid w:val="00433756"/>
    <w:rsid w:val="00C75BE6"/>
    <w:rsid w:val="00E54114"/>
    <w:rsid w:val="00FE0EB2"/>
    <w:rsid w:val="044511F7"/>
    <w:rsid w:val="0785655A"/>
    <w:rsid w:val="08F45EE4"/>
    <w:rsid w:val="0B7D1302"/>
    <w:rsid w:val="0E1614BF"/>
    <w:rsid w:val="146975C2"/>
    <w:rsid w:val="16BF171B"/>
    <w:rsid w:val="188F4A22"/>
    <w:rsid w:val="1ED7548C"/>
    <w:rsid w:val="1F715C2D"/>
    <w:rsid w:val="1FD509AD"/>
    <w:rsid w:val="2435663B"/>
    <w:rsid w:val="2F6FD71B"/>
    <w:rsid w:val="327C6EE8"/>
    <w:rsid w:val="327E245C"/>
    <w:rsid w:val="32E43A47"/>
    <w:rsid w:val="355D1808"/>
    <w:rsid w:val="36A06C23"/>
    <w:rsid w:val="3B74097D"/>
    <w:rsid w:val="3BFEDCF0"/>
    <w:rsid w:val="3BFF356B"/>
    <w:rsid w:val="41172BB8"/>
    <w:rsid w:val="43CF0940"/>
    <w:rsid w:val="47E726FC"/>
    <w:rsid w:val="4E2C6EE0"/>
    <w:rsid w:val="4E6C5709"/>
    <w:rsid w:val="502D2C76"/>
    <w:rsid w:val="51657995"/>
    <w:rsid w:val="541D7BD3"/>
    <w:rsid w:val="59FFE6EA"/>
    <w:rsid w:val="66510C5E"/>
    <w:rsid w:val="69316C8A"/>
    <w:rsid w:val="69D16911"/>
    <w:rsid w:val="6FFB0243"/>
    <w:rsid w:val="6FFB6A53"/>
    <w:rsid w:val="778F56FA"/>
    <w:rsid w:val="77C72FBE"/>
    <w:rsid w:val="797B41A3"/>
    <w:rsid w:val="7CF68C59"/>
    <w:rsid w:val="7E6FA6D8"/>
    <w:rsid w:val="7FEB21BE"/>
    <w:rsid w:val="7FEF6BB5"/>
    <w:rsid w:val="7FFBBF65"/>
    <w:rsid w:val="9BBFD807"/>
    <w:rsid w:val="A6FD2339"/>
    <w:rsid w:val="AFFAD389"/>
    <w:rsid w:val="BFFE2830"/>
    <w:rsid w:val="CF7F899D"/>
    <w:rsid w:val="DF7A24EC"/>
    <w:rsid w:val="E49F704E"/>
    <w:rsid w:val="F5FDB81E"/>
    <w:rsid w:val="F7FF3313"/>
    <w:rsid w:val="FE9FC1EA"/>
    <w:rsid w:val="FEABCEA8"/>
    <w:rsid w:val="FEB74B5B"/>
    <w:rsid w:val="FEFFF51B"/>
    <w:rsid w:val="FFF7E5DC"/>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pPr>
    <w:rPr>
      <w:rFonts w:ascii="Calibri" w:hAnsi="Calibri" w:eastAsia="宋体" w:cs="Times New Roman"/>
      <w:kern w:val="2"/>
      <w:sz w:val="21"/>
      <w:lang w:val="en-US" w:eastAsia="zh-CN" w:bidi="ar-SA"/>
    </w:rPr>
  </w:style>
  <w:style w:type="paragraph" w:styleId="2">
    <w:name w:val="heading 4"/>
    <w:basedOn w:val="1"/>
    <w:next w:val="1"/>
    <w:autoRedefine/>
    <w:unhideWhenUsed/>
    <w:qFormat/>
    <w:uiPriority w:val="0"/>
    <w:pPr>
      <w:keepNext/>
      <w:keepLines/>
      <w:numPr>
        <w:ilvl w:val="3"/>
        <w:numId w:val="1"/>
      </w:numPr>
      <w:spacing w:line="372" w:lineRule="auto"/>
      <w:outlineLvl w:val="3"/>
    </w:pPr>
    <w:rPr>
      <w:rFonts w:ascii="Arial" w:hAnsi="Arial"/>
      <w:b/>
      <w:sz w:val="2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List Number"/>
    <w:basedOn w:val="1"/>
    <w:autoRedefine/>
    <w:qFormat/>
    <w:uiPriority w:val="0"/>
    <w:pPr>
      <w:numPr>
        <w:ilvl w:val="0"/>
        <w:numId w:val="2"/>
      </w:numPr>
    </w:pPr>
  </w:style>
  <w:style w:type="paragraph" w:styleId="4">
    <w:name w:val="annotation text"/>
    <w:basedOn w:val="1"/>
    <w:link w:val="14"/>
    <w:autoRedefine/>
    <w:qFormat/>
    <w:uiPriority w:val="0"/>
    <w:pPr>
      <w:jc w:val="left"/>
    </w:pPr>
  </w:style>
  <w:style w:type="paragraph" w:styleId="5">
    <w:name w:val="Body Text"/>
    <w:basedOn w:val="1"/>
    <w:next w:val="1"/>
    <w:autoRedefine/>
    <w:unhideWhenUsed/>
    <w:qFormat/>
    <w:uiPriority w:val="0"/>
    <w:pPr>
      <w:spacing w:after="120"/>
    </w:pPr>
  </w:style>
  <w:style w:type="paragraph" w:styleId="6">
    <w:name w:val="Plain Text"/>
    <w:basedOn w:val="1"/>
    <w:next w:val="1"/>
    <w:autoRedefine/>
    <w:qFormat/>
    <w:uiPriority w:val="0"/>
    <w:rPr>
      <w:rFonts w:ascii="宋体" w:hAnsi="Courier New"/>
    </w:rPr>
  </w:style>
  <w:style w:type="paragraph" w:styleId="7">
    <w:name w:val="Normal (Web)"/>
    <w:basedOn w:val="1"/>
    <w:autoRedefine/>
    <w:qFormat/>
    <w:uiPriority w:val="0"/>
    <w:rPr>
      <w:sz w:val="24"/>
    </w:rPr>
  </w:style>
  <w:style w:type="paragraph" w:styleId="8">
    <w:name w:val="annotation subject"/>
    <w:basedOn w:val="4"/>
    <w:next w:val="4"/>
    <w:link w:val="15"/>
    <w:autoRedefine/>
    <w:qFormat/>
    <w:uiPriority w:val="0"/>
    <w:rPr>
      <w:b/>
      <w:bCs/>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qFormat/>
    <w:uiPriority w:val="0"/>
    <w:rPr>
      <w:sz w:val="21"/>
      <w:szCs w:val="21"/>
    </w:rPr>
  </w:style>
  <w:style w:type="paragraph" w:customStyle="1" w:styleId="13">
    <w:name w:val="列出段落11"/>
    <w:basedOn w:val="1"/>
    <w:autoRedefine/>
    <w:qFormat/>
    <w:uiPriority w:val="34"/>
    <w:pPr>
      <w:ind w:firstLine="420" w:firstLineChars="200"/>
    </w:pPr>
    <w:rPr>
      <w:rFonts w:asciiTheme="minorHAnsi" w:hAnsiTheme="minorHAnsi" w:eastAsiaTheme="minorEastAsia" w:cstheme="minorBidi"/>
    </w:rPr>
  </w:style>
  <w:style w:type="character" w:customStyle="1" w:styleId="14">
    <w:name w:val="批注文字 字符"/>
    <w:basedOn w:val="11"/>
    <w:link w:val="4"/>
    <w:autoRedefine/>
    <w:qFormat/>
    <w:uiPriority w:val="0"/>
    <w:rPr>
      <w:rFonts w:ascii="Calibri" w:hAnsi="Calibri" w:eastAsia="宋体" w:cs="Times New Roman"/>
      <w:kern w:val="2"/>
      <w:sz w:val="21"/>
      <w:lang w:bidi="ar-SA"/>
    </w:rPr>
  </w:style>
  <w:style w:type="character" w:customStyle="1" w:styleId="15">
    <w:name w:val="批注主题 字符"/>
    <w:basedOn w:val="14"/>
    <w:link w:val="8"/>
    <w:autoRedefine/>
    <w:qFormat/>
    <w:uiPriority w:val="0"/>
    <w:rPr>
      <w:rFonts w:ascii="Calibri" w:hAnsi="Calibri" w:eastAsia="宋体" w:cs="Times New Roman"/>
      <w:b/>
      <w:bCs/>
      <w:kern w:val="2"/>
      <w:sz w:val="21"/>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1960</Words>
  <Characters>2041</Characters>
  <Lines>73</Lines>
  <Paragraphs>74</Paragraphs>
  <TotalTime>11</TotalTime>
  <ScaleCrop>false</ScaleCrop>
  <LinksUpToDate>false</LinksUpToDate>
  <CharactersWithSpaces>2065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2023-03-13T06:14:00Z</dcterms:created>
  <dc:creator>WPS_465383031</dc:creator>
  <cp:lastModifiedBy>Dechen</cp:lastModifiedBy>
  <cp:lastPrinted>2025-03-24T07:56:00Z</cp:lastPrinted>
  <dcterms:modified xsi:type="dcterms:W3CDTF">2025-04-21T09:47:58Z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DFDD68BF25814B869B99F6F0FA06009B_13</vt:lpwstr>
  </property>
  <property fmtid="{D5CDD505-2E9C-101B-9397-08002B2CF9AE}" pid="4" name="KSOTemplateDocerSaveRecord">
    <vt:lpwstr>eyJoZGlkIjoiYjk3MTQwNTUzNmZjMTE5ZDdiNzFlZTAzM2E1NmVhMzkiLCJ1c2VySWQiOiI1MDM1NTU0MDAifQ==</vt:lpwstr>
  </property>
</Properties>
</file>